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748F1" w:rsidRDefault="00B748F1" w:rsidP="0001304B">
      <w:pPr>
        <w:pStyle w:val="RecNo"/>
        <w:spacing w:before="0"/>
        <w:rPr>
          <w:b/>
          <w:lang w:val="de-DE"/>
        </w:rPr>
      </w:pPr>
    </w:p>
    <w:p w:rsidR="00B748F1" w:rsidRDefault="00B748F1" w:rsidP="0001304B">
      <w:pPr>
        <w:pStyle w:val="RecNo"/>
        <w:spacing w:before="0"/>
        <w:rPr>
          <w:b/>
          <w:lang w:val="de-DE"/>
        </w:rPr>
      </w:pPr>
      <w:r>
        <w:rPr>
          <w:noProof/>
          <w:lang w:val="en-IE" w:eastAsia="en-IE"/>
        </w:rPr>
        <mc:AlternateContent>
          <mc:Choice Requires="wps">
            <w:drawing>
              <wp:anchor distT="0" distB="0" distL="114300" distR="114300" simplePos="0" relativeHeight="251658240" behindDoc="0" locked="0" layoutInCell="1" allowOverlap="1">
                <wp:simplePos x="0" y="0"/>
                <wp:positionH relativeFrom="column">
                  <wp:posOffset>4070985</wp:posOffset>
                </wp:positionH>
                <wp:positionV relativeFrom="paragraph">
                  <wp:posOffset>88900</wp:posOffset>
                </wp:positionV>
                <wp:extent cx="1679575" cy="361950"/>
                <wp:effectExtent l="0" t="0" r="15875" b="19050"/>
                <wp:wrapNone/>
                <wp:docPr id="7" name="Textruta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9575" cy="361950"/>
                        </a:xfrm>
                        <a:prstGeom prst="rect">
                          <a:avLst/>
                        </a:prstGeom>
                        <a:solidFill>
                          <a:srgbClr val="FFFFFF"/>
                        </a:solidFill>
                        <a:ln w="9525">
                          <a:solidFill>
                            <a:srgbClr val="000000"/>
                          </a:solidFill>
                          <a:miter lim="800000"/>
                          <a:headEnd/>
                          <a:tailEnd/>
                        </a:ln>
                      </wps:spPr>
                      <wps:txbx>
                        <w:txbxContent>
                          <w:p w:rsidR="00AA7462" w:rsidRPr="00B748F1" w:rsidRDefault="00B748F1" w:rsidP="00B748F1">
                            <w:pPr>
                              <w:jc w:val="left"/>
                              <w:rPr>
                                <w:lang w:val="sv-SE"/>
                              </w:rPr>
                            </w:pPr>
                            <w:r>
                              <w:rPr>
                                <w:lang w:val="sv-SE"/>
                              </w:rPr>
                              <w:t>eNAV14- 17.1.3.4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ruta 2" o:spid="_x0000_s1026" type="#_x0000_t202" style="position:absolute;left:0;text-align:left;margin-left:320.55pt;margin-top:7pt;width:132.25pt;height:2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">
                <v:textbox>
                  <w:txbxContent>
                    <w:p w:rsidR="00AA7462" w:rsidRPr="00B748F1" w:rsidRDefault="00B748F1" w:rsidP="00B748F1">
                      <w:pPr>
                        <w:jc w:val="left"/>
                        <w:rPr>
                          <w:lang w:val="sv-SE"/>
                        </w:rPr>
                      </w:pPr>
                      <w:bookmarkStart w:id="1" w:name="_GoBack"/>
                      <w:r>
                        <w:rPr>
                          <w:lang w:val="sv-SE"/>
                        </w:rPr>
                        <w:t>eNAV14- 17.1.3.4</w:t>
                      </w:r>
                      <w:bookmarkEnd w:id="1"/>
                    </w:p>
                  </w:txbxContent>
                </v:textbox>
              </v:shape>
            </w:pict>
          </mc:Fallback>
        </mc:AlternateContent>
      </w:r>
    </w:p>
    <w:p w:rsidR="00B748F1" w:rsidRDefault="00B748F1" w:rsidP="0001304B">
      <w:pPr>
        <w:pStyle w:val="RecNo"/>
        <w:spacing w:before="0"/>
        <w:rPr>
          <w:b/>
          <w:lang w:val="de-DE"/>
        </w:rPr>
      </w:pPr>
    </w:p>
    <w:p w:rsidR="00B748F1" w:rsidRDefault="00B31B89" w:rsidP="0001304B">
      <w:pPr>
        <w:pStyle w:val="RecNo"/>
        <w:spacing w:before="0"/>
        <w:rPr>
          <w:b/>
          <w:lang w:val="de-DE"/>
        </w:rPr>
      </w:pPr>
      <w:r>
        <w:rPr>
          <w:b/>
          <w:lang w:val="de-DE"/>
        </w:rPr>
        <w:t>Annex 2</w:t>
      </w:r>
    </w:p>
    <w:p w:rsidR="00B748F1" w:rsidRDefault="00B748F1" w:rsidP="0001304B">
      <w:pPr>
        <w:pStyle w:val="RecNo"/>
        <w:spacing w:before="0"/>
        <w:rPr>
          <w:b/>
          <w:lang w:val="de-DE"/>
        </w:rPr>
      </w:pPr>
    </w:p>
    <w:p w:rsidR="00AA7462" w:rsidRPr="008107F2" w:rsidRDefault="00AA7462" w:rsidP="0001304B">
      <w:pPr>
        <w:pStyle w:val="RecNo"/>
        <w:spacing w:before="0"/>
        <w:rPr>
          <w:b/>
          <w:lang w:val="en-US"/>
        </w:rPr>
      </w:pPr>
      <w:r w:rsidRPr="008107F2">
        <w:rPr>
          <w:b/>
          <w:lang w:val="en-US"/>
        </w:rPr>
        <w:t>Working Document Toward</w:t>
      </w:r>
    </w:p>
    <w:p w:rsidR="00AA7462" w:rsidRPr="008107F2" w:rsidRDefault="00AA7462" w:rsidP="0001304B">
      <w:pPr>
        <w:pStyle w:val="RecNo"/>
        <w:spacing w:before="0"/>
        <w:rPr>
          <w:b/>
          <w:lang w:val="en-US"/>
        </w:rPr>
      </w:pPr>
      <w:r w:rsidRPr="008107F2">
        <w:rPr>
          <w:b/>
          <w:lang w:val="en-US"/>
        </w:rPr>
        <w:t xml:space="preserve">Preliminary Draft New Recommendation </w:t>
      </w:r>
      <w:r w:rsidRPr="008107F2">
        <w:rPr>
          <w:rStyle w:val="href"/>
          <w:b/>
          <w:lang w:val="en-US"/>
        </w:rPr>
        <w:t>ITU-</w:t>
      </w:r>
      <w:proofErr w:type="gramStart"/>
      <w:r w:rsidRPr="008107F2">
        <w:rPr>
          <w:rStyle w:val="href"/>
          <w:b/>
          <w:lang w:val="en-US"/>
        </w:rPr>
        <w:t>R  M</w:t>
      </w:r>
      <w:proofErr w:type="gramEnd"/>
      <w:r w:rsidRPr="008107F2">
        <w:rPr>
          <w:rStyle w:val="href"/>
          <w:b/>
          <w:lang w:val="en-US"/>
        </w:rPr>
        <w:t>.[VDES]</w:t>
      </w:r>
      <w:r w:rsidRPr="008107F2">
        <w:rPr>
          <w:rStyle w:val="FootnoteReference"/>
          <w:b/>
          <w:lang w:val="en-US"/>
        </w:rPr>
        <w:footnoteReference w:customMarkFollows="1" w:id="1"/>
        <w:t>*</w:t>
      </w:r>
    </w:p>
    <w:p w:rsidR="00AA7462" w:rsidRDefault="00AA7462" w:rsidP="00C845FE">
      <w:pPr>
        <w:pStyle w:val="Rectitle"/>
        <w:rPr>
          <w:lang w:val="en-US"/>
        </w:rPr>
      </w:pPr>
      <w:bookmarkStart w:id="0" w:name="Pre_title"/>
      <w:r>
        <w:rPr>
          <w:lang w:val="en-US"/>
        </w:rPr>
        <w:t>Technical characteristics for a VHF Data Excha</w:t>
      </w:r>
      <w:bookmarkStart w:id="1" w:name="_GoBack"/>
      <w:bookmarkEnd w:id="1"/>
      <w:r>
        <w:rPr>
          <w:lang w:val="en-US"/>
        </w:rPr>
        <w:t xml:space="preserve">nge System (VDES) </w:t>
      </w:r>
      <w:bookmarkEnd w:id="0"/>
      <w:r>
        <w:rPr>
          <w:lang w:val="en-US"/>
        </w:rPr>
        <w:t>in the VHF maritime mobile band</w:t>
      </w:r>
    </w:p>
    <w:p w:rsidR="00AA7462" w:rsidRDefault="00AA7462" w:rsidP="001E1EDB">
      <w:pPr>
        <w:pStyle w:val="Recdate"/>
        <w:jc w:val="center"/>
        <w:rPr>
          <w:szCs w:val="22"/>
          <w:lang w:val="en-US"/>
        </w:rPr>
      </w:pPr>
      <w:bookmarkStart w:id="2" w:name="Revision_history"/>
    </w:p>
    <w:bookmarkEnd w:id="2"/>
    <w:p w:rsidR="00AA7462" w:rsidRPr="00E42798" w:rsidRDefault="00AA7462" w:rsidP="000253A4">
      <w:pPr>
        <w:pStyle w:val="HeadingSum"/>
        <w:rPr>
          <w:szCs w:val="22"/>
          <w:lang w:val="en-US"/>
        </w:rPr>
      </w:pPr>
      <w:r w:rsidRPr="00E42798">
        <w:rPr>
          <w:szCs w:val="22"/>
          <w:lang w:val="en-US"/>
        </w:rPr>
        <w:t>Scope</w:t>
      </w:r>
    </w:p>
    <w:p w:rsidR="00AA7462" w:rsidRPr="00C845FE" w:rsidRDefault="00AA7462" w:rsidP="000253A4">
      <w:pPr>
        <w:pStyle w:val="Summary"/>
        <w:rPr>
          <w:lang w:val="en-US"/>
        </w:rPr>
      </w:pPr>
      <w:r w:rsidRPr="00C845FE">
        <w:rPr>
          <w:lang w:val="en-US"/>
        </w:rPr>
        <w:t>This Recommendation provides the technical characteristics of a</w:t>
      </w:r>
      <w:r>
        <w:rPr>
          <w:lang w:val="en-US"/>
        </w:rPr>
        <w:t xml:space="preserve"> VHF data exchange system (VDES) which integrates the functions of VHF Data Exchange (VDE), Application Specific Messages (ASM) and </w:t>
      </w:r>
      <w:proofErr w:type="gramStart"/>
      <w:r>
        <w:rPr>
          <w:lang w:val="en-US"/>
        </w:rPr>
        <w:t xml:space="preserve">the  </w:t>
      </w:r>
      <w:r w:rsidRPr="00C845FE">
        <w:rPr>
          <w:lang w:val="en-US"/>
        </w:rPr>
        <w:t>automatic</w:t>
      </w:r>
      <w:proofErr w:type="gramEnd"/>
      <w:r w:rsidRPr="00C845FE">
        <w:rPr>
          <w:lang w:val="en-US"/>
        </w:rPr>
        <w:t xml:space="preserve"> identification system (AIS) in the VHF maritime mobile band</w:t>
      </w:r>
      <w:r>
        <w:rPr>
          <w:lang w:val="en-US"/>
        </w:rPr>
        <w:t xml:space="preserve"> (156.025-162.025 MHz)</w:t>
      </w:r>
      <w:r w:rsidRPr="00C845FE">
        <w:rPr>
          <w:lang w:val="en-US"/>
        </w:rPr>
        <w:t>.</w:t>
      </w:r>
    </w:p>
    <w:p w:rsidR="00AA7462" w:rsidRDefault="00AA7462" w:rsidP="000253A4">
      <w:pPr>
        <w:pStyle w:val="Normalaftertitle"/>
        <w:rPr>
          <w:lang w:val="en-US"/>
        </w:rPr>
      </w:pPr>
      <w:r>
        <w:rPr>
          <w:lang w:val="en-US"/>
        </w:rPr>
        <w:t xml:space="preserve">The ITU </w:t>
      </w:r>
      <w:proofErr w:type="spellStart"/>
      <w:r>
        <w:rPr>
          <w:lang w:val="en-US"/>
        </w:rPr>
        <w:t>Radiocommunication</w:t>
      </w:r>
      <w:proofErr w:type="spellEnd"/>
      <w:r>
        <w:rPr>
          <w:lang w:val="en-US"/>
        </w:rPr>
        <w:t xml:space="preserve"> Assembly,</w:t>
      </w:r>
    </w:p>
    <w:p w:rsidR="00AA7462" w:rsidRDefault="00AA7462" w:rsidP="000253A4">
      <w:pPr>
        <w:pStyle w:val="Call"/>
        <w:rPr>
          <w:lang w:val="en-US"/>
        </w:rPr>
      </w:pPr>
      <w:proofErr w:type="gramStart"/>
      <w:r>
        <w:rPr>
          <w:lang w:val="en-US"/>
        </w:rPr>
        <w:t>considering</w:t>
      </w:r>
      <w:proofErr w:type="gramEnd"/>
    </w:p>
    <w:p w:rsidR="00AA7462" w:rsidRDefault="00AA7462" w:rsidP="000253A4">
      <w:pPr>
        <w:rPr>
          <w:lang w:val="en-US"/>
        </w:rPr>
      </w:pPr>
      <w:r>
        <w:rPr>
          <w:lang w:val="en-US"/>
        </w:rPr>
        <w:t>a)</w:t>
      </w:r>
      <w:r>
        <w:rPr>
          <w:lang w:val="en-US"/>
        </w:rPr>
        <w:tab/>
      </w:r>
      <w:proofErr w:type="gramStart"/>
      <w:r>
        <w:rPr>
          <w:lang w:val="en-US"/>
        </w:rPr>
        <w:t>that</w:t>
      </w:r>
      <w:proofErr w:type="gramEnd"/>
      <w:r>
        <w:rPr>
          <w:lang w:val="en-US"/>
        </w:rPr>
        <w:t xml:space="preserve"> the International Maritime Organization (IMO) has a </w:t>
      </w:r>
      <w:r w:rsidRPr="00367521">
        <w:rPr>
          <w:lang w:val="en-US"/>
        </w:rPr>
        <w:t>continuing</w:t>
      </w:r>
      <w:r>
        <w:rPr>
          <w:lang w:val="en-US"/>
        </w:rPr>
        <w:t xml:space="preserve"> requirement for a universal </w:t>
      </w:r>
      <w:proofErr w:type="spellStart"/>
      <w:r>
        <w:rPr>
          <w:lang w:val="en-US"/>
        </w:rPr>
        <w:t>shipborne</w:t>
      </w:r>
      <w:proofErr w:type="spellEnd"/>
      <w:r>
        <w:rPr>
          <w:lang w:val="en-US"/>
        </w:rPr>
        <w:t xml:space="preserve"> automatic identification system (AIS);</w:t>
      </w:r>
    </w:p>
    <w:p w:rsidR="00AA7462" w:rsidRDefault="00AA7462" w:rsidP="000253A4">
      <w:pPr>
        <w:rPr>
          <w:lang w:val="en-US"/>
        </w:rPr>
      </w:pPr>
      <w:r>
        <w:rPr>
          <w:lang w:val="en-US"/>
        </w:rPr>
        <w:t>b)</w:t>
      </w:r>
      <w:r>
        <w:rPr>
          <w:lang w:val="en-US"/>
        </w:rPr>
        <w:tab/>
      </w:r>
      <w:proofErr w:type="gramStart"/>
      <w:r>
        <w:rPr>
          <w:lang w:val="en-US"/>
        </w:rPr>
        <w:t>that</w:t>
      </w:r>
      <w:proofErr w:type="gramEnd"/>
      <w:r>
        <w:rPr>
          <w:lang w:val="en-US"/>
        </w:rPr>
        <w:t xml:space="preserve"> the use of a universal </w:t>
      </w:r>
      <w:proofErr w:type="spellStart"/>
      <w:r>
        <w:rPr>
          <w:lang w:val="en-US"/>
        </w:rPr>
        <w:t>shipborne</w:t>
      </w:r>
      <w:proofErr w:type="spellEnd"/>
      <w:r>
        <w:rPr>
          <w:lang w:val="en-US"/>
        </w:rPr>
        <w:t xml:space="preserve"> </w:t>
      </w:r>
      <w:r>
        <w:rPr>
          <w:caps/>
          <w:lang w:val="en-US"/>
        </w:rPr>
        <w:t>AIS</w:t>
      </w:r>
      <w:r>
        <w:rPr>
          <w:lang w:val="en-US"/>
        </w:rPr>
        <w:t xml:space="preserve"> allows efficient exchange of navigational data between ships and between ships and shore stations, thereby improving safety of navigation;</w:t>
      </w:r>
    </w:p>
    <w:p w:rsidR="00AA7462" w:rsidRDefault="00AA7462" w:rsidP="000253A4">
      <w:pPr>
        <w:rPr>
          <w:lang w:val="en-US"/>
        </w:rPr>
      </w:pPr>
      <w:r>
        <w:rPr>
          <w:lang w:val="en-US"/>
        </w:rPr>
        <w:t>c)</w:t>
      </w:r>
      <w:r>
        <w:rPr>
          <w:lang w:val="en-US"/>
        </w:rPr>
        <w:tab/>
        <w:t>that a system should be designed using self-organized time division multiple access (SOTDMA) along with other appropriate access schemes and efficient data transmission methods, and sufficient spectrum should be designated, to accommodate all users and meet the likely future requirements for efficient use of the spectrum;</w:t>
      </w:r>
    </w:p>
    <w:p w:rsidR="00AA7462" w:rsidRDefault="00AA7462" w:rsidP="000253A4">
      <w:pPr>
        <w:rPr>
          <w:lang w:val="en-US"/>
        </w:rPr>
      </w:pPr>
      <w:r>
        <w:rPr>
          <w:lang w:val="en-US"/>
        </w:rPr>
        <w:t>d)</w:t>
      </w:r>
      <w:r>
        <w:rPr>
          <w:lang w:val="en-US"/>
        </w:rPr>
        <w:tab/>
        <w:t>that while AIS is used primarily for surveillance and safety of navigation purposes in ship to ship use, ship reporting and vessel traffic services (VTS) applications, a growing need for other maritime safety related communications has developed;</w:t>
      </w:r>
    </w:p>
    <w:p w:rsidR="00AA7462" w:rsidRDefault="00AA7462" w:rsidP="000253A4">
      <w:pPr>
        <w:rPr>
          <w:lang w:val="en-US"/>
        </w:rPr>
      </w:pPr>
      <w:r>
        <w:rPr>
          <w:lang w:val="en-US"/>
        </w:rPr>
        <w:t>e)</w:t>
      </w:r>
      <w:r>
        <w:rPr>
          <w:lang w:val="en-US"/>
        </w:rPr>
        <w:tab/>
        <w:t>that the VHF data exchange system shall give priority to AIS, and also accommodate future expansion in the number of users and diversification of data communications applications, including vessels which are not subject to IMO AIS carriage requirements, aids to navigation and search and rescue;</w:t>
      </w:r>
    </w:p>
    <w:p w:rsidR="00AA7462" w:rsidRDefault="00AA7462" w:rsidP="000253A4">
      <w:pPr>
        <w:rPr>
          <w:lang w:val="en-US"/>
        </w:rPr>
      </w:pPr>
      <w:r>
        <w:rPr>
          <w:lang w:val="en-US"/>
        </w:rPr>
        <w:t>f)</w:t>
      </w:r>
      <w:r>
        <w:rPr>
          <w:lang w:val="en-US"/>
        </w:rPr>
        <w:tab/>
        <w:t xml:space="preserve">that the VHF data exchange system has data communications capacity and technical characteristics that support </w:t>
      </w:r>
      <w:r w:rsidRPr="00B748F1">
        <w:rPr>
          <w:lang w:val="en-US"/>
        </w:rPr>
        <w:t>the harmonized collection, integration, exchange, presentation and analysis of marine information onboard and ashore by electronic means to enhance berth to berth navigation and related services for safety and security at sea and protection of the marine environment,”</w:t>
      </w:r>
    </w:p>
    <w:p w:rsidR="00AA7462" w:rsidRDefault="00AA7462" w:rsidP="000253A4">
      <w:pPr>
        <w:pStyle w:val="Call"/>
        <w:rPr>
          <w:lang w:val="en-US"/>
        </w:rPr>
      </w:pPr>
      <w:proofErr w:type="gramStart"/>
      <w:r>
        <w:rPr>
          <w:lang w:val="en-US"/>
        </w:rPr>
        <w:lastRenderedPageBreak/>
        <w:t>recognizing</w:t>
      </w:r>
      <w:proofErr w:type="gramEnd"/>
    </w:p>
    <w:p w:rsidR="00AA7462" w:rsidRPr="009E72F1" w:rsidRDefault="00AA7462" w:rsidP="009E72F1">
      <w:pPr>
        <w:rPr>
          <w:lang w:val="en-US"/>
        </w:rPr>
      </w:pPr>
      <w:proofErr w:type="gramStart"/>
      <w:r>
        <w:rPr>
          <w:lang w:val="en-US"/>
        </w:rPr>
        <w:t>that</w:t>
      </w:r>
      <w:proofErr w:type="gramEnd"/>
      <w:r>
        <w:rPr>
          <w:lang w:val="en-US"/>
        </w:rPr>
        <w:t xml:space="preserve"> the implementation of VDES must ensure that the  functions of DSC, AIS and voice distress, safety and calling communication (Channel 16), are not impaired;</w:t>
      </w:r>
    </w:p>
    <w:p w:rsidR="00AA7462" w:rsidRDefault="00AA7462" w:rsidP="000253A4">
      <w:pPr>
        <w:pStyle w:val="Call"/>
        <w:rPr>
          <w:lang w:val="en-US"/>
        </w:rPr>
      </w:pPr>
      <w:proofErr w:type="gramStart"/>
      <w:r>
        <w:rPr>
          <w:lang w:val="en-US"/>
        </w:rPr>
        <w:t>recommends</w:t>
      </w:r>
      <w:proofErr w:type="gramEnd"/>
    </w:p>
    <w:p w:rsidR="00AA7462" w:rsidRDefault="00AA7462" w:rsidP="000253A4">
      <w:pPr>
        <w:rPr>
          <w:lang w:val="en-US"/>
        </w:rPr>
      </w:pPr>
      <w:r>
        <w:rPr>
          <w:b/>
          <w:lang w:val="en-US"/>
        </w:rPr>
        <w:t>1</w:t>
      </w:r>
      <w:r>
        <w:rPr>
          <w:lang w:val="en-US"/>
        </w:rPr>
        <w:tab/>
        <w:t xml:space="preserve">that VDES should be designed in accordance with the operational characteristics given in Annex 1 and the technical characteristics given in the </w:t>
      </w:r>
      <w:r w:rsidRPr="005F4502">
        <w:rPr>
          <w:lang w:val="en-US"/>
        </w:rPr>
        <w:t xml:space="preserve">Annexes </w:t>
      </w:r>
      <w:r>
        <w:rPr>
          <w:lang w:val="en-US"/>
        </w:rPr>
        <w:t>XX (to be draft);</w:t>
      </w:r>
    </w:p>
    <w:p w:rsidR="00AA7462" w:rsidRDefault="00AA7462" w:rsidP="000253A4">
      <w:pPr>
        <w:rPr>
          <w:lang w:val="en-US"/>
        </w:rPr>
      </w:pPr>
      <w:r>
        <w:rPr>
          <w:b/>
          <w:lang w:val="en-US"/>
        </w:rPr>
        <w:t>2</w:t>
      </w:r>
      <w:r>
        <w:rPr>
          <w:lang w:val="en-US"/>
        </w:rPr>
        <w:tab/>
        <w:t>that applications of the VDES which make use of application specific messages (ASM) designed for AIS, as defined in  Recommendation ITU-R M 1371  should also take into account the international application identifier branch, as specified in IMO SN Circ. 289, maintained and published by IMO;</w:t>
      </w:r>
    </w:p>
    <w:p w:rsidR="00AA7462" w:rsidRDefault="00AA7462" w:rsidP="000253A4">
      <w:pPr>
        <w:rPr>
          <w:lang w:val="en-US"/>
        </w:rPr>
      </w:pPr>
      <w:proofErr w:type="gramStart"/>
      <w:r>
        <w:rPr>
          <w:b/>
          <w:lang w:val="en-US"/>
        </w:rPr>
        <w:t>3</w:t>
      </w:r>
      <w:r>
        <w:rPr>
          <w:lang w:val="en-US"/>
        </w:rPr>
        <w:tab/>
        <w:t>that the design and installation of VDES should also consider relevant technical requirements, recommendations and guidelines published by IMO, IEC and IALA.</w:t>
      </w:r>
      <w:proofErr w:type="gramEnd"/>
    </w:p>
    <w:p w:rsidR="00AA7462" w:rsidRDefault="00AA7462">
      <w:pPr>
        <w:tabs>
          <w:tab w:val="clear" w:pos="794"/>
          <w:tab w:val="clear" w:pos="1191"/>
          <w:tab w:val="clear" w:pos="1588"/>
          <w:tab w:val="clear" w:pos="1985"/>
        </w:tabs>
        <w:overflowPunct/>
        <w:autoSpaceDE/>
        <w:autoSpaceDN/>
        <w:adjustRightInd/>
        <w:spacing w:before="0"/>
        <w:jc w:val="left"/>
        <w:textAlignment w:val="auto"/>
        <w:rPr>
          <w:b/>
          <w:sz w:val="28"/>
          <w:lang w:val="en-US"/>
        </w:rPr>
      </w:pPr>
      <w:r>
        <w:rPr>
          <w:lang w:val="en-US"/>
        </w:rPr>
        <w:br w:type="page"/>
      </w:r>
    </w:p>
    <w:p w:rsidR="00AA7462" w:rsidRDefault="00AA7462" w:rsidP="000253A4">
      <w:pPr>
        <w:pStyle w:val="AnnexNoTitle"/>
        <w:rPr>
          <w:lang w:val="en-US"/>
        </w:rPr>
      </w:pPr>
      <w:proofErr w:type="gramStart"/>
      <w:r>
        <w:rPr>
          <w:lang w:val="en-US"/>
        </w:rPr>
        <w:lastRenderedPageBreak/>
        <w:t>Annex  1</w:t>
      </w:r>
      <w:proofErr w:type="gramEnd"/>
      <w:r>
        <w:rPr>
          <w:lang w:val="en-US"/>
        </w:rPr>
        <w:br/>
      </w:r>
      <w:r>
        <w:rPr>
          <w:lang w:val="en-US"/>
        </w:rPr>
        <w:br/>
        <w:t>Operational characteristics of a VHF Data Exchange System (VDES) in the VHF maritime mobile band</w:t>
      </w:r>
    </w:p>
    <w:p w:rsidR="00AA7462" w:rsidRDefault="00AA7462" w:rsidP="000253A4">
      <w:pPr>
        <w:pStyle w:val="Heading1"/>
        <w:spacing w:before="240"/>
        <w:rPr>
          <w:lang w:val="en-US"/>
        </w:rPr>
      </w:pPr>
      <w:bookmarkStart w:id="3" w:name="_Toc440783956"/>
      <w:r>
        <w:rPr>
          <w:lang w:val="en-US"/>
        </w:rPr>
        <w:t>1</w:t>
      </w:r>
      <w:r>
        <w:rPr>
          <w:lang w:val="en-US"/>
        </w:rPr>
        <w:tab/>
        <w:t>General</w:t>
      </w:r>
      <w:bookmarkEnd w:id="3"/>
    </w:p>
    <w:p w:rsidR="00AA7462" w:rsidRDefault="00AA7462" w:rsidP="000253A4">
      <w:pPr>
        <w:rPr>
          <w:lang w:val="en-US"/>
        </w:rPr>
      </w:pPr>
      <w:r>
        <w:rPr>
          <w:b/>
          <w:lang w:val="en-US"/>
        </w:rPr>
        <w:t>1.1</w:t>
      </w:r>
      <w:r>
        <w:rPr>
          <w:lang w:val="en-US"/>
        </w:rPr>
        <w:tab/>
        <w:t xml:space="preserve">The system should give its highest priority to AIS position reporting and safety related information. </w:t>
      </w:r>
    </w:p>
    <w:p w:rsidR="00AA7462" w:rsidRDefault="00AA7462" w:rsidP="000253A4">
      <w:pPr>
        <w:rPr>
          <w:lang w:val="en-US"/>
        </w:rPr>
      </w:pPr>
      <w:r>
        <w:rPr>
          <w:b/>
          <w:lang w:val="en-US"/>
        </w:rPr>
        <w:t>1.2</w:t>
      </w:r>
      <w:r>
        <w:rPr>
          <w:lang w:val="en-US"/>
        </w:rPr>
        <w:tab/>
        <w:t>The system installation should be capable of receiving and processing all specified digital messages and interrogating calls specified by this Recommendation.</w:t>
      </w:r>
    </w:p>
    <w:p w:rsidR="00AA7462" w:rsidRDefault="00AA7462" w:rsidP="000253A4">
      <w:pPr>
        <w:rPr>
          <w:lang w:val="en-US"/>
        </w:rPr>
      </w:pPr>
      <w:r>
        <w:rPr>
          <w:b/>
          <w:lang w:val="en-US"/>
        </w:rPr>
        <w:t>1.3</w:t>
      </w:r>
      <w:r>
        <w:rPr>
          <w:lang w:val="en-US"/>
        </w:rPr>
        <w:tab/>
        <w:t>The system should be capable of transmitting additional safety information on request.</w:t>
      </w:r>
    </w:p>
    <w:p w:rsidR="00AA7462" w:rsidRDefault="00AA7462" w:rsidP="000253A4">
      <w:pPr>
        <w:rPr>
          <w:lang w:val="en-US"/>
        </w:rPr>
      </w:pPr>
      <w:r>
        <w:rPr>
          <w:b/>
          <w:bCs/>
          <w:lang w:val="en-US"/>
        </w:rPr>
        <w:t>1.4</w:t>
      </w:r>
      <w:r>
        <w:rPr>
          <w:lang w:val="en-US"/>
        </w:rPr>
        <w:tab/>
        <w:t>The system installation should be able to operate continuously while under way or at anchor.</w:t>
      </w:r>
    </w:p>
    <w:p w:rsidR="00AA7462" w:rsidRDefault="00AA7462" w:rsidP="000253A4">
      <w:pPr>
        <w:rPr>
          <w:lang w:val="en-US"/>
        </w:rPr>
      </w:pPr>
      <w:r>
        <w:rPr>
          <w:b/>
          <w:bCs/>
          <w:lang w:val="en-US"/>
        </w:rPr>
        <w:t>1.5</w:t>
      </w:r>
      <w:r>
        <w:rPr>
          <w:lang w:val="en-US"/>
        </w:rPr>
        <w:tab/>
        <w:t xml:space="preserve">The system should use TDMA techniques, access schemes and data </w:t>
      </w:r>
      <w:proofErr w:type="spellStart"/>
      <w:r>
        <w:rPr>
          <w:lang w:val="en-US"/>
        </w:rPr>
        <w:t>transmissioin</w:t>
      </w:r>
      <w:proofErr w:type="spellEnd"/>
      <w:r>
        <w:rPr>
          <w:lang w:val="en-US"/>
        </w:rPr>
        <w:t xml:space="preserve"> methods in a synchronized manner as specified in the Annexes.</w:t>
      </w:r>
    </w:p>
    <w:p w:rsidR="00AA7462" w:rsidRDefault="00AA7462" w:rsidP="000253A4">
      <w:pPr>
        <w:rPr>
          <w:lang w:val="en-US"/>
        </w:rPr>
      </w:pPr>
      <w:r>
        <w:rPr>
          <w:b/>
          <w:bCs/>
          <w:lang w:val="en-US"/>
        </w:rPr>
        <w:t>1.6</w:t>
      </w:r>
      <w:r>
        <w:rPr>
          <w:lang w:val="en-US"/>
        </w:rPr>
        <w:tab/>
        <w:t>The system should be capable of various modes of operation, including the autonomous, assigned and polled modes.</w:t>
      </w:r>
    </w:p>
    <w:p w:rsidR="00AA7462" w:rsidRDefault="00AA7462" w:rsidP="0033225B">
      <w:pPr>
        <w:pStyle w:val="Heading1"/>
        <w:spacing w:before="240"/>
        <w:ind w:left="792" w:hanging="792"/>
        <w:rPr>
          <w:lang w:val="en-US"/>
        </w:rPr>
      </w:pPr>
      <w:r>
        <w:rPr>
          <w:lang w:val="en-US"/>
        </w:rPr>
        <w:t>2</w:t>
      </w:r>
      <w:r w:rsidRPr="002879EF">
        <w:rPr>
          <w:lang w:val="en-US"/>
        </w:rPr>
        <w:tab/>
      </w:r>
      <w:r>
        <w:rPr>
          <w:lang w:val="en-US"/>
        </w:rPr>
        <w:t>VDES functions and frequency usage</w:t>
      </w:r>
    </w:p>
    <w:p w:rsidR="00AA7462" w:rsidRDefault="00AA7462" w:rsidP="0033225B">
      <w:pPr>
        <w:rPr>
          <w:lang w:val="en-US"/>
        </w:rPr>
      </w:pPr>
      <w:r>
        <w:rPr>
          <w:lang w:val="en-US"/>
        </w:rPr>
        <w:t xml:space="preserve">VDES functions and frequency usage are illustrated </w:t>
      </w:r>
      <w:proofErr w:type="spellStart"/>
      <w:r>
        <w:rPr>
          <w:lang w:val="en-US"/>
        </w:rPr>
        <w:t>pictorally</w:t>
      </w:r>
      <w:proofErr w:type="spellEnd"/>
      <w:r>
        <w:rPr>
          <w:lang w:val="en-US"/>
        </w:rPr>
        <w:t xml:space="preserve"> in Figure 1.</w:t>
      </w:r>
    </w:p>
    <w:p w:rsidR="00AA7462" w:rsidRPr="00ED2A44" w:rsidRDefault="00AA7462" w:rsidP="00F44BD9">
      <w:pPr>
        <w:keepNext/>
        <w:keepLines/>
        <w:tabs>
          <w:tab w:val="clear" w:pos="794"/>
          <w:tab w:val="clear" w:pos="1191"/>
          <w:tab w:val="clear" w:pos="1588"/>
          <w:tab w:val="clear" w:pos="1985"/>
          <w:tab w:val="left" w:pos="1134"/>
          <w:tab w:val="left" w:pos="1871"/>
          <w:tab w:val="left" w:pos="2268"/>
        </w:tabs>
        <w:spacing w:before="240"/>
        <w:jc w:val="center"/>
        <w:rPr>
          <w:b/>
          <w:caps/>
          <w:szCs w:val="24"/>
          <w:lang w:val="en-US"/>
        </w:rPr>
      </w:pPr>
      <w:r w:rsidRPr="00F44BD9">
        <w:rPr>
          <w:b/>
          <w:caps/>
          <w:szCs w:val="24"/>
          <w:lang w:val="en-US"/>
        </w:rPr>
        <w:t>FIGURE 1</w:t>
      </w:r>
    </w:p>
    <w:p w:rsidR="00AA7462" w:rsidRPr="00F44BD9" w:rsidRDefault="00AA7462" w:rsidP="00F44BD9">
      <w:pPr>
        <w:tabs>
          <w:tab w:val="clear" w:pos="794"/>
          <w:tab w:val="clear" w:pos="1191"/>
          <w:tab w:val="clear" w:pos="1588"/>
          <w:tab w:val="clear" w:pos="1985"/>
        </w:tabs>
        <w:overflowPunct/>
        <w:autoSpaceDE/>
        <w:autoSpaceDN/>
        <w:adjustRightInd/>
        <w:spacing w:before="0"/>
        <w:jc w:val="center"/>
        <w:textAlignment w:val="auto"/>
        <w:rPr>
          <w:rFonts w:eastAsia="Times New Roman"/>
          <w:b/>
          <w:szCs w:val="24"/>
          <w:lang w:val="en-US"/>
        </w:rPr>
      </w:pPr>
      <w:r w:rsidRPr="00F44BD9">
        <w:rPr>
          <w:rFonts w:eastAsia="Times New Roman"/>
          <w:b/>
          <w:szCs w:val="24"/>
          <w:lang w:val="en-US"/>
        </w:rPr>
        <w:t>VDES Functions and Frequency Usage</w:t>
      </w:r>
    </w:p>
    <w:p w:rsidR="00AA7462" w:rsidRPr="00F44BD9" w:rsidRDefault="00AA7462" w:rsidP="00F44BD9">
      <w:pPr>
        <w:keepNext/>
        <w:keepLines/>
        <w:tabs>
          <w:tab w:val="clear" w:pos="794"/>
          <w:tab w:val="clear" w:pos="1191"/>
          <w:tab w:val="clear" w:pos="1588"/>
          <w:tab w:val="clear" w:pos="1985"/>
          <w:tab w:val="left" w:pos="1134"/>
          <w:tab w:val="left" w:pos="1871"/>
          <w:tab w:val="left" w:pos="2268"/>
        </w:tabs>
        <w:spacing w:before="0"/>
        <w:jc w:val="center"/>
        <w:rPr>
          <w:rFonts w:ascii="Calibri" w:hAnsi="Calibri"/>
          <w:b/>
          <w:caps/>
          <w:szCs w:val="24"/>
          <w:lang w:val="en-US"/>
        </w:rPr>
      </w:pPr>
    </w:p>
    <w:p w:rsidR="00AA7462" w:rsidRDefault="00B748F1" w:rsidP="00ED2A44">
      <w:pPr>
        <w:tabs>
          <w:tab w:val="clear" w:pos="794"/>
          <w:tab w:val="clear" w:pos="1191"/>
          <w:tab w:val="clear" w:pos="1588"/>
          <w:tab w:val="clear" w:pos="1985"/>
        </w:tabs>
        <w:overflowPunct/>
        <w:autoSpaceDE/>
        <w:autoSpaceDN/>
        <w:adjustRightInd/>
        <w:spacing w:before="0"/>
        <w:jc w:val="center"/>
        <w:textAlignment w:val="auto"/>
        <w:rPr>
          <w:lang w:val="en-US"/>
        </w:rPr>
      </w:pPr>
      <w:r>
        <w:rPr>
          <w:noProof/>
          <w:lang w:val="en-IE" w:eastAsia="en-IE"/>
        </w:rPr>
        <w:drawing>
          <wp:inline distT="0" distB="0" distL="0" distR="0">
            <wp:extent cx="6486525" cy="4200525"/>
            <wp:effectExtent l="0" t="0" r="9525" b="9525"/>
            <wp:docPr id="1" name="Imag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9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486525" cy="4200525"/>
                    </a:xfrm>
                    <a:prstGeom prst="rect">
                      <a:avLst/>
                    </a:prstGeom>
                    <a:noFill/>
                    <a:ln>
                      <a:noFill/>
                    </a:ln>
                  </pic:spPr>
                </pic:pic>
              </a:graphicData>
            </a:graphic>
          </wp:inline>
        </w:drawing>
      </w:r>
    </w:p>
    <w:p w:rsidR="00AA7462" w:rsidRDefault="00AA7462" w:rsidP="00ED2A44">
      <w:pPr>
        <w:tabs>
          <w:tab w:val="clear" w:pos="794"/>
          <w:tab w:val="clear" w:pos="1191"/>
          <w:tab w:val="clear" w:pos="1588"/>
          <w:tab w:val="clear" w:pos="1985"/>
        </w:tabs>
        <w:overflowPunct/>
        <w:autoSpaceDE/>
        <w:autoSpaceDN/>
        <w:adjustRightInd/>
        <w:spacing w:before="0"/>
        <w:jc w:val="left"/>
        <w:textAlignment w:val="auto"/>
        <w:rPr>
          <w:lang w:val="en-US"/>
        </w:rPr>
      </w:pPr>
      <w:r>
        <w:rPr>
          <w:lang w:val="en-US"/>
        </w:rPr>
        <w:lastRenderedPageBreak/>
        <w:t>Note: SAT Up is receive only by satellite</w:t>
      </w:r>
    </w:p>
    <w:p w:rsidR="00AA7462" w:rsidRPr="00ED2A44" w:rsidRDefault="00AA7462" w:rsidP="00ED2A44">
      <w:pPr>
        <w:tabs>
          <w:tab w:val="clear" w:pos="794"/>
          <w:tab w:val="clear" w:pos="1191"/>
          <w:tab w:val="clear" w:pos="1588"/>
          <w:tab w:val="clear" w:pos="1985"/>
        </w:tabs>
        <w:overflowPunct/>
        <w:autoSpaceDE/>
        <w:autoSpaceDN/>
        <w:adjustRightInd/>
        <w:spacing w:before="0"/>
        <w:jc w:val="left"/>
        <w:textAlignment w:val="auto"/>
        <w:rPr>
          <w:b/>
          <w:lang w:val="en-US"/>
        </w:rPr>
      </w:pPr>
      <w:r>
        <w:rPr>
          <w:lang w:val="en-US"/>
        </w:rPr>
        <w:t xml:space="preserve">Table 1 describes the RR Appendix 18 channels used for the various applications of VDES. </w:t>
      </w:r>
    </w:p>
    <w:p w:rsidR="00AA7462" w:rsidRPr="00F44BD9" w:rsidRDefault="00AA7462" w:rsidP="00F44BD9">
      <w:pPr>
        <w:keepNext/>
        <w:tabs>
          <w:tab w:val="clear" w:pos="794"/>
          <w:tab w:val="clear" w:pos="1191"/>
          <w:tab w:val="clear" w:pos="1588"/>
          <w:tab w:val="clear" w:pos="1985"/>
          <w:tab w:val="left" w:pos="1134"/>
          <w:tab w:val="left" w:pos="1871"/>
          <w:tab w:val="left" w:pos="2268"/>
        </w:tabs>
        <w:spacing w:before="240" w:after="120"/>
        <w:jc w:val="center"/>
        <w:rPr>
          <w:b/>
          <w:caps/>
          <w:szCs w:val="24"/>
          <w:lang w:val="en-US"/>
        </w:rPr>
      </w:pPr>
      <w:r w:rsidRPr="00ED2A44">
        <w:rPr>
          <w:b/>
          <w:caps/>
          <w:szCs w:val="24"/>
          <w:lang w:val="en-US"/>
        </w:rPr>
        <w:t>T</w:t>
      </w:r>
      <w:r w:rsidRPr="00F44BD9">
        <w:rPr>
          <w:b/>
          <w:caps/>
          <w:szCs w:val="24"/>
          <w:lang w:val="en-US"/>
        </w:rPr>
        <w:t>able 1</w:t>
      </w:r>
    </w:p>
    <w:p w:rsidR="00AA7462" w:rsidRDefault="00AA7462" w:rsidP="00F44BD9">
      <w:pPr>
        <w:keepNext/>
        <w:keepLines/>
        <w:tabs>
          <w:tab w:val="clear" w:pos="794"/>
          <w:tab w:val="clear" w:pos="1191"/>
          <w:tab w:val="clear" w:pos="1588"/>
          <w:tab w:val="clear" w:pos="1985"/>
          <w:tab w:val="left" w:pos="1134"/>
          <w:tab w:val="left" w:pos="1871"/>
          <w:tab w:val="left" w:pos="2268"/>
        </w:tabs>
        <w:spacing w:before="0" w:after="120"/>
        <w:jc w:val="center"/>
        <w:rPr>
          <w:b/>
          <w:szCs w:val="24"/>
          <w:lang w:val="en-US"/>
        </w:rPr>
      </w:pPr>
      <w:r>
        <w:rPr>
          <w:b/>
          <w:szCs w:val="24"/>
          <w:lang w:val="en-US"/>
        </w:rPr>
        <w:t xml:space="preserve">RR </w:t>
      </w:r>
      <w:r w:rsidRPr="00F44BD9">
        <w:rPr>
          <w:b/>
          <w:szCs w:val="24"/>
          <w:lang w:val="en-US"/>
        </w:rPr>
        <w:t xml:space="preserve">Appendix 18 channels </w:t>
      </w:r>
      <w:r>
        <w:rPr>
          <w:b/>
          <w:szCs w:val="24"/>
          <w:lang w:val="en-US"/>
        </w:rPr>
        <w:t xml:space="preserve">used </w:t>
      </w:r>
      <w:r w:rsidRPr="00F44BD9">
        <w:rPr>
          <w:b/>
          <w:szCs w:val="24"/>
          <w:lang w:val="en-US"/>
        </w:rPr>
        <w:t xml:space="preserve">for </w:t>
      </w:r>
      <w:r>
        <w:rPr>
          <w:b/>
          <w:szCs w:val="24"/>
          <w:lang w:val="en-US"/>
        </w:rPr>
        <w:t xml:space="preserve">VDES applications: </w:t>
      </w:r>
      <w:r w:rsidRPr="00F44BD9">
        <w:rPr>
          <w:b/>
          <w:szCs w:val="24"/>
          <w:lang w:val="en-US"/>
        </w:rPr>
        <w:t>AIS, ASM</w:t>
      </w:r>
      <w:r>
        <w:rPr>
          <w:b/>
          <w:szCs w:val="24"/>
          <w:lang w:val="en-US"/>
        </w:rPr>
        <w:t>,</w:t>
      </w:r>
      <w:r w:rsidRPr="00F44BD9">
        <w:rPr>
          <w:b/>
          <w:szCs w:val="24"/>
          <w:lang w:val="en-US"/>
        </w:rPr>
        <w:t xml:space="preserve"> VDE</w:t>
      </w:r>
      <w:r>
        <w:rPr>
          <w:b/>
          <w:szCs w:val="24"/>
          <w:lang w:val="en-US"/>
        </w:rPr>
        <w:t xml:space="preserve"> and SAT</w:t>
      </w:r>
      <w:r w:rsidRPr="00F44BD9">
        <w:rPr>
          <w:b/>
          <w:szCs w:val="24"/>
          <w:lang w:val="en-US"/>
        </w:rPr>
        <w:t xml:space="preserve"> </w:t>
      </w:r>
    </w:p>
    <w:tbl>
      <w:tblPr>
        <w:tblW w:w="92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862"/>
        <w:gridCol w:w="2841"/>
        <w:gridCol w:w="2562"/>
      </w:tblGrid>
      <w:tr w:rsidR="00AA7462" w:rsidRPr="00E87E32" w:rsidTr="00F620B7">
        <w:trPr>
          <w:trHeight w:val="408"/>
          <w:jc w:val="center"/>
        </w:trPr>
        <w:tc>
          <w:tcPr>
            <w:tcW w:w="3862" w:type="dxa"/>
            <w:vMerge w:val="restart"/>
            <w:shd w:val="clear" w:color="auto" w:fill="E9EDF4"/>
            <w:tcMar>
              <w:top w:w="15" w:type="dxa"/>
              <w:left w:w="93" w:type="dxa"/>
              <w:bottom w:w="0" w:type="dxa"/>
              <w:right w:w="93" w:type="dxa"/>
            </w:tcMar>
            <w:vAlign w:val="center"/>
          </w:tcPr>
          <w:p w:rsidR="00AA7462" w:rsidRPr="00E87E32" w:rsidRDefault="00AA7462" w:rsidP="00F620B7">
            <w:pPr>
              <w:pStyle w:val="Tablehead"/>
              <w:rPr>
                <w:lang w:val="en-US"/>
              </w:rPr>
            </w:pPr>
            <w:r w:rsidRPr="00E87E32">
              <w:rPr>
                <w:lang w:val="en-US"/>
              </w:rPr>
              <w:t>Channel number in RR Appendix 18</w:t>
            </w:r>
          </w:p>
        </w:tc>
        <w:tc>
          <w:tcPr>
            <w:tcW w:w="5403" w:type="dxa"/>
            <w:gridSpan w:val="2"/>
            <w:shd w:val="clear" w:color="auto" w:fill="E9EDF4"/>
            <w:tcMar>
              <w:top w:w="15" w:type="dxa"/>
              <w:left w:w="93" w:type="dxa"/>
              <w:bottom w:w="0" w:type="dxa"/>
              <w:right w:w="93" w:type="dxa"/>
            </w:tcMar>
            <w:vAlign w:val="center"/>
          </w:tcPr>
          <w:p w:rsidR="00AA7462" w:rsidRPr="00E87E32" w:rsidRDefault="00AA7462" w:rsidP="00F620B7">
            <w:pPr>
              <w:pStyle w:val="Tablehead"/>
              <w:rPr>
                <w:lang w:val="en-US"/>
              </w:rPr>
            </w:pPr>
            <w:r w:rsidRPr="00E87E32">
              <w:rPr>
                <w:lang w:val="en-US"/>
              </w:rPr>
              <w:t>Transmitting frequencies (MHz) for ship and coast stations</w:t>
            </w:r>
          </w:p>
        </w:tc>
      </w:tr>
      <w:tr w:rsidR="00AA7462" w:rsidRPr="00E87E32" w:rsidTr="00F620B7">
        <w:tblPrEx>
          <w:tblCellMar>
            <w:left w:w="108" w:type="dxa"/>
            <w:right w:w="108" w:type="dxa"/>
          </w:tblCellMar>
        </w:tblPrEx>
        <w:trPr>
          <w:trHeight w:val="749"/>
          <w:jc w:val="center"/>
        </w:trPr>
        <w:tc>
          <w:tcPr>
            <w:tcW w:w="0" w:type="auto"/>
            <w:vMerge/>
          </w:tcPr>
          <w:p w:rsidR="00AA7462" w:rsidRPr="00E87E32" w:rsidRDefault="00AA7462" w:rsidP="00F620B7">
            <w:pPr>
              <w:pStyle w:val="Tablehead"/>
              <w:rPr>
                <w:lang w:val="en-US"/>
              </w:rPr>
            </w:pPr>
          </w:p>
        </w:tc>
        <w:tc>
          <w:tcPr>
            <w:tcW w:w="2841" w:type="dxa"/>
          </w:tcPr>
          <w:p w:rsidR="00AA7462" w:rsidRPr="00E87E32" w:rsidRDefault="00AA7462" w:rsidP="00F620B7">
            <w:pPr>
              <w:pStyle w:val="Tablehead"/>
              <w:rPr>
                <w:lang w:val="en-US"/>
              </w:rPr>
            </w:pPr>
            <w:r w:rsidRPr="00E87E32">
              <w:rPr>
                <w:lang w:val="en-US"/>
              </w:rPr>
              <w:t>Ship stations (ship-to-shore)</w:t>
            </w:r>
          </w:p>
          <w:p w:rsidR="00AA7462" w:rsidRPr="00E87E32" w:rsidRDefault="00AA7462" w:rsidP="00F620B7">
            <w:pPr>
              <w:pStyle w:val="Tablehead"/>
              <w:rPr>
                <w:lang w:val="en-US"/>
              </w:rPr>
            </w:pPr>
            <w:r w:rsidRPr="00E87E32">
              <w:rPr>
                <w:lang w:val="en-US"/>
              </w:rPr>
              <w:t>(long range AIS)</w:t>
            </w:r>
          </w:p>
          <w:p w:rsidR="00AA7462" w:rsidRPr="00E87E32" w:rsidRDefault="00AA7462" w:rsidP="00F620B7">
            <w:pPr>
              <w:pStyle w:val="Tablehead"/>
              <w:rPr>
                <w:lang w:val="en-US"/>
              </w:rPr>
            </w:pPr>
            <w:r w:rsidRPr="00E87E32">
              <w:rPr>
                <w:lang w:val="en-US"/>
              </w:rPr>
              <w:t>Ship stations (ship-to-satellite)</w:t>
            </w:r>
          </w:p>
        </w:tc>
        <w:tc>
          <w:tcPr>
            <w:tcW w:w="2562" w:type="dxa"/>
          </w:tcPr>
          <w:p w:rsidR="00AA7462" w:rsidRPr="00E87E32" w:rsidRDefault="00AA7462" w:rsidP="00F620B7">
            <w:pPr>
              <w:pStyle w:val="Tablehead"/>
              <w:rPr>
                <w:lang w:val="en-US"/>
              </w:rPr>
            </w:pPr>
            <w:r w:rsidRPr="00E87E32">
              <w:rPr>
                <w:lang w:val="en-US"/>
              </w:rPr>
              <w:t>Coast stations</w:t>
            </w:r>
          </w:p>
          <w:p w:rsidR="00AA7462" w:rsidRPr="00E87E32" w:rsidRDefault="00AA7462" w:rsidP="00F620B7">
            <w:pPr>
              <w:pStyle w:val="Tablehead"/>
              <w:rPr>
                <w:lang w:val="en-US"/>
              </w:rPr>
            </w:pPr>
            <w:r w:rsidRPr="00E87E32">
              <w:rPr>
                <w:lang w:val="en-US"/>
              </w:rPr>
              <w:t>Ship stations (ship-to-ship)</w:t>
            </w:r>
          </w:p>
          <w:p w:rsidR="00AA7462" w:rsidRPr="00E87E32" w:rsidRDefault="00AA7462" w:rsidP="00F620B7">
            <w:pPr>
              <w:pStyle w:val="Tablehead"/>
              <w:rPr>
                <w:caps/>
                <w:lang w:val="en-US"/>
              </w:rPr>
            </w:pPr>
            <w:r w:rsidRPr="00E87E32">
              <w:t>Satellite-to-</w:t>
            </w:r>
            <w:proofErr w:type="spellStart"/>
            <w:r w:rsidRPr="00E87E32">
              <w:t>ship</w:t>
            </w:r>
            <w:proofErr w:type="spellEnd"/>
          </w:p>
        </w:tc>
      </w:tr>
      <w:tr w:rsidR="00AA7462" w:rsidRPr="00E87E32" w:rsidTr="00F620B7">
        <w:tblPrEx>
          <w:tblCellMar>
            <w:left w:w="108" w:type="dxa"/>
            <w:right w:w="108" w:type="dxa"/>
          </w:tblCellMar>
        </w:tblPrEx>
        <w:trPr>
          <w:trHeight w:val="270"/>
          <w:jc w:val="center"/>
        </w:trPr>
        <w:tc>
          <w:tcPr>
            <w:tcW w:w="3862" w:type="dxa"/>
          </w:tcPr>
          <w:p w:rsidR="00AA7462" w:rsidRPr="00E87E32" w:rsidRDefault="00AA7462" w:rsidP="00F620B7">
            <w:pPr>
              <w:pStyle w:val="Tabletext"/>
              <w:rPr>
                <w:lang w:val="en-US"/>
              </w:rPr>
            </w:pPr>
            <w:r w:rsidRPr="00E87E32">
              <w:t>AIS 1</w:t>
            </w:r>
          </w:p>
        </w:tc>
        <w:tc>
          <w:tcPr>
            <w:tcW w:w="2841" w:type="dxa"/>
          </w:tcPr>
          <w:p w:rsidR="00AA7462" w:rsidRPr="00E87E32" w:rsidRDefault="00AA7462" w:rsidP="00F620B7">
            <w:pPr>
              <w:pStyle w:val="Tabletext"/>
              <w:rPr>
                <w:lang w:val="en-US"/>
              </w:rPr>
            </w:pPr>
            <w:r w:rsidRPr="00E87E32">
              <w:t>161.975</w:t>
            </w:r>
          </w:p>
        </w:tc>
        <w:tc>
          <w:tcPr>
            <w:tcW w:w="2562" w:type="dxa"/>
          </w:tcPr>
          <w:p w:rsidR="00AA7462" w:rsidRPr="00E87E32" w:rsidRDefault="00AA7462" w:rsidP="00F620B7">
            <w:pPr>
              <w:pStyle w:val="Tabletext"/>
              <w:rPr>
                <w:lang w:val="en-US"/>
              </w:rPr>
            </w:pPr>
            <w:r w:rsidRPr="00E87E32">
              <w:t>161.975</w:t>
            </w:r>
          </w:p>
        </w:tc>
      </w:tr>
      <w:tr w:rsidR="00AA7462" w:rsidRPr="00E87E32" w:rsidTr="00F620B7">
        <w:tblPrEx>
          <w:tblCellMar>
            <w:left w:w="108" w:type="dxa"/>
            <w:right w:w="108" w:type="dxa"/>
          </w:tblCellMar>
        </w:tblPrEx>
        <w:trPr>
          <w:trHeight w:val="270"/>
          <w:jc w:val="center"/>
        </w:trPr>
        <w:tc>
          <w:tcPr>
            <w:tcW w:w="3862" w:type="dxa"/>
          </w:tcPr>
          <w:p w:rsidR="00AA7462" w:rsidRPr="00E87E32" w:rsidRDefault="00AA7462" w:rsidP="00F620B7">
            <w:pPr>
              <w:pStyle w:val="Tabletext"/>
              <w:rPr>
                <w:lang w:val="en-US"/>
              </w:rPr>
            </w:pPr>
            <w:r w:rsidRPr="00E87E32">
              <w:t>AIS 2</w:t>
            </w:r>
          </w:p>
        </w:tc>
        <w:tc>
          <w:tcPr>
            <w:tcW w:w="2841" w:type="dxa"/>
          </w:tcPr>
          <w:p w:rsidR="00AA7462" w:rsidRPr="00E87E32" w:rsidRDefault="00AA7462" w:rsidP="00F620B7">
            <w:pPr>
              <w:pStyle w:val="Tabletext"/>
              <w:rPr>
                <w:lang w:val="en-US"/>
              </w:rPr>
            </w:pPr>
            <w:r w:rsidRPr="00E87E32">
              <w:t>162.025</w:t>
            </w:r>
          </w:p>
        </w:tc>
        <w:tc>
          <w:tcPr>
            <w:tcW w:w="2562" w:type="dxa"/>
          </w:tcPr>
          <w:p w:rsidR="00AA7462" w:rsidRPr="00E87E32" w:rsidRDefault="00AA7462" w:rsidP="00F620B7">
            <w:pPr>
              <w:pStyle w:val="Tabletext"/>
              <w:rPr>
                <w:lang w:val="en-US"/>
              </w:rPr>
            </w:pPr>
            <w:r w:rsidRPr="00E87E32">
              <w:t>162.025</w:t>
            </w:r>
          </w:p>
        </w:tc>
      </w:tr>
      <w:tr w:rsidR="00AA7462" w:rsidRPr="00E87E32" w:rsidTr="00F620B7">
        <w:tblPrEx>
          <w:tblCellMar>
            <w:left w:w="108" w:type="dxa"/>
            <w:right w:w="108" w:type="dxa"/>
          </w:tblCellMar>
        </w:tblPrEx>
        <w:trPr>
          <w:trHeight w:val="270"/>
          <w:jc w:val="center"/>
        </w:trPr>
        <w:tc>
          <w:tcPr>
            <w:tcW w:w="3862" w:type="dxa"/>
          </w:tcPr>
          <w:p w:rsidR="00AA7462" w:rsidRPr="00E87E32" w:rsidRDefault="00AA7462" w:rsidP="00F620B7">
            <w:pPr>
              <w:pStyle w:val="Tabletext"/>
              <w:rPr>
                <w:lang w:val="en-US"/>
              </w:rPr>
            </w:pPr>
            <w:r w:rsidRPr="00E87E32">
              <w:t>75  (long range AIS)</w:t>
            </w:r>
          </w:p>
        </w:tc>
        <w:tc>
          <w:tcPr>
            <w:tcW w:w="2841" w:type="dxa"/>
          </w:tcPr>
          <w:p w:rsidR="00AA7462" w:rsidRPr="00E87E32" w:rsidRDefault="00AA7462" w:rsidP="00F620B7">
            <w:pPr>
              <w:pStyle w:val="Tabletext"/>
              <w:rPr>
                <w:lang w:val="en-US"/>
              </w:rPr>
            </w:pPr>
            <w:r w:rsidRPr="00E87E32">
              <w:t>156.775 (</w:t>
            </w:r>
            <w:proofErr w:type="spellStart"/>
            <w:r w:rsidRPr="00E87E32">
              <w:t>ships</w:t>
            </w:r>
            <w:proofErr w:type="spellEnd"/>
            <w:r w:rsidRPr="00E87E32">
              <w:t xml:space="preserve"> are </w:t>
            </w:r>
            <w:proofErr w:type="spellStart"/>
            <w:r w:rsidRPr="00E87E32">
              <w:t>Tx</w:t>
            </w:r>
            <w:proofErr w:type="spellEnd"/>
            <w:r w:rsidRPr="00E87E32">
              <w:t xml:space="preserve"> </w:t>
            </w:r>
            <w:proofErr w:type="spellStart"/>
            <w:r w:rsidRPr="00E87E32">
              <w:t>only</w:t>
            </w:r>
            <w:proofErr w:type="spellEnd"/>
            <w:r w:rsidRPr="00E87E32">
              <w:t>)</w:t>
            </w:r>
          </w:p>
        </w:tc>
        <w:tc>
          <w:tcPr>
            <w:tcW w:w="2562" w:type="dxa"/>
          </w:tcPr>
          <w:p w:rsidR="00AA7462" w:rsidRPr="00E87E32" w:rsidRDefault="00AA7462" w:rsidP="00F620B7">
            <w:pPr>
              <w:pStyle w:val="Tabletext"/>
              <w:rPr>
                <w:lang w:val="en-US"/>
              </w:rPr>
            </w:pPr>
            <w:r w:rsidRPr="00E87E32">
              <w:t>N/A</w:t>
            </w:r>
          </w:p>
        </w:tc>
      </w:tr>
      <w:tr w:rsidR="00AA7462" w:rsidRPr="00E87E32" w:rsidTr="00F620B7">
        <w:tblPrEx>
          <w:tblCellMar>
            <w:left w:w="108" w:type="dxa"/>
            <w:right w:w="108" w:type="dxa"/>
          </w:tblCellMar>
        </w:tblPrEx>
        <w:trPr>
          <w:trHeight w:val="205"/>
          <w:jc w:val="center"/>
        </w:trPr>
        <w:tc>
          <w:tcPr>
            <w:tcW w:w="3862" w:type="dxa"/>
          </w:tcPr>
          <w:p w:rsidR="00AA7462" w:rsidRPr="00E87E32" w:rsidRDefault="00AA7462" w:rsidP="00F620B7">
            <w:pPr>
              <w:pStyle w:val="Tabletext"/>
              <w:rPr>
                <w:lang w:val="en-US"/>
              </w:rPr>
            </w:pPr>
            <w:r w:rsidRPr="00E87E32">
              <w:t>76  (long range AIS)</w:t>
            </w:r>
          </w:p>
        </w:tc>
        <w:tc>
          <w:tcPr>
            <w:tcW w:w="2841" w:type="dxa"/>
          </w:tcPr>
          <w:p w:rsidR="00AA7462" w:rsidRPr="00E87E32" w:rsidRDefault="00AA7462" w:rsidP="00F620B7">
            <w:pPr>
              <w:pStyle w:val="Tabletext"/>
              <w:rPr>
                <w:lang w:val="en-US"/>
              </w:rPr>
            </w:pPr>
            <w:r w:rsidRPr="00E87E32">
              <w:t>156.825 (</w:t>
            </w:r>
            <w:proofErr w:type="spellStart"/>
            <w:r w:rsidRPr="00E87E32">
              <w:t>ships</w:t>
            </w:r>
            <w:proofErr w:type="spellEnd"/>
            <w:r w:rsidRPr="00E87E32">
              <w:t xml:space="preserve"> are </w:t>
            </w:r>
            <w:proofErr w:type="spellStart"/>
            <w:r w:rsidRPr="00E87E32">
              <w:t>Tx</w:t>
            </w:r>
            <w:proofErr w:type="spellEnd"/>
            <w:r w:rsidRPr="00E87E32">
              <w:t xml:space="preserve"> </w:t>
            </w:r>
            <w:proofErr w:type="spellStart"/>
            <w:r w:rsidRPr="00E87E32">
              <w:t>only</w:t>
            </w:r>
            <w:proofErr w:type="spellEnd"/>
            <w:r w:rsidRPr="00E87E32">
              <w:t>)</w:t>
            </w:r>
          </w:p>
        </w:tc>
        <w:tc>
          <w:tcPr>
            <w:tcW w:w="2562" w:type="dxa"/>
          </w:tcPr>
          <w:p w:rsidR="00AA7462" w:rsidRPr="00E87E32" w:rsidRDefault="00AA7462" w:rsidP="00F620B7">
            <w:pPr>
              <w:pStyle w:val="Tabletext"/>
              <w:rPr>
                <w:lang w:val="en-US"/>
              </w:rPr>
            </w:pPr>
            <w:r w:rsidRPr="00E87E32">
              <w:t>N/A</w:t>
            </w:r>
          </w:p>
        </w:tc>
      </w:tr>
      <w:tr w:rsidR="00AA7462" w:rsidRPr="00E87E32" w:rsidTr="00F620B7">
        <w:tblPrEx>
          <w:tblCellMar>
            <w:left w:w="108" w:type="dxa"/>
            <w:right w:w="108" w:type="dxa"/>
          </w:tblCellMar>
        </w:tblPrEx>
        <w:trPr>
          <w:trHeight w:val="270"/>
          <w:jc w:val="center"/>
        </w:trPr>
        <w:tc>
          <w:tcPr>
            <w:tcW w:w="3862" w:type="dxa"/>
          </w:tcPr>
          <w:p w:rsidR="00AA7462" w:rsidRPr="00E87E32" w:rsidRDefault="00AA7462" w:rsidP="00F620B7">
            <w:pPr>
              <w:pStyle w:val="Tabletext"/>
              <w:rPr>
                <w:lang w:val="en-US"/>
              </w:rPr>
            </w:pPr>
            <w:r w:rsidRPr="00E87E32">
              <w:t>2027  (ASM 1)</w:t>
            </w:r>
          </w:p>
        </w:tc>
        <w:tc>
          <w:tcPr>
            <w:tcW w:w="2841" w:type="dxa"/>
          </w:tcPr>
          <w:p w:rsidR="00AA7462" w:rsidRPr="00E87E32" w:rsidRDefault="00AA7462" w:rsidP="00F620B7">
            <w:pPr>
              <w:pStyle w:val="Tabletext"/>
              <w:rPr>
                <w:lang w:val="en-US"/>
              </w:rPr>
            </w:pPr>
            <w:r w:rsidRPr="00E87E32">
              <w:t>161.950 (2027)</w:t>
            </w:r>
          </w:p>
        </w:tc>
        <w:tc>
          <w:tcPr>
            <w:tcW w:w="2562" w:type="dxa"/>
          </w:tcPr>
          <w:p w:rsidR="00AA7462" w:rsidRPr="00E87E32" w:rsidRDefault="00AA7462" w:rsidP="00F620B7">
            <w:pPr>
              <w:pStyle w:val="Tabletext"/>
              <w:rPr>
                <w:lang w:val="en-US"/>
              </w:rPr>
            </w:pPr>
            <w:r w:rsidRPr="00E87E32">
              <w:t>161.950 (2027)</w:t>
            </w:r>
          </w:p>
        </w:tc>
      </w:tr>
      <w:tr w:rsidR="00AA7462" w:rsidRPr="00E87E32" w:rsidTr="00F620B7">
        <w:tblPrEx>
          <w:tblCellMar>
            <w:left w:w="108" w:type="dxa"/>
            <w:right w:w="108" w:type="dxa"/>
          </w:tblCellMar>
        </w:tblPrEx>
        <w:trPr>
          <w:trHeight w:val="270"/>
          <w:jc w:val="center"/>
        </w:trPr>
        <w:tc>
          <w:tcPr>
            <w:tcW w:w="3862" w:type="dxa"/>
          </w:tcPr>
          <w:p w:rsidR="00AA7462" w:rsidRPr="00E87E32" w:rsidRDefault="00AA7462" w:rsidP="00F620B7">
            <w:pPr>
              <w:pStyle w:val="Tabletext"/>
              <w:rPr>
                <w:lang w:val="en-US"/>
              </w:rPr>
            </w:pPr>
            <w:r w:rsidRPr="00E87E32">
              <w:t>2028  (ASM 2)</w:t>
            </w:r>
          </w:p>
        </w:tc>
        <w:tc>
          <w:tcPr>
            <w:tcW w:w="2841" w:type="dxa"/>
          </w:tcPr>
          <w:p w:rsidR="00AA7462" w:rsidRPr="00E87E32" w:rsidRDefault="00AA7462" w:rsidP="00F620B7">
            <w:pPr>
              <w:pStyle w:val="Tabletext"/>
              <w:rPr>
                <w:lang w:val="en-US"/>
              </w:rPr>
            </w:pPr>
            <w:r w:rsidRPr="00E87E32">
              <w:t>162.000 (2028)</w:t>
            </w:r>
          </w:p>
        </w:tc>
        <w:tc>
          <w:tcPr>
            <w:tcW w:w="2562" w:type="dxa"/>
          </w:tcPr>
          <w:p w:rsidR="00AA7462" w:rsidRPr="00E87E32" w:rsidRDefault="00AA7462" w:rsidP="00F620B7">
            <w:pPr>
              <w:pStyle w:val="Tabletext"/>
              <w:rPr>
                <w:lang w:val="en-US"/>
              </w:rPr>
            </w:pPr>
            <w:r w:rsidRPr="00E87E32">
              <w:t>162.000 (2028)</w:t>
            </w:r>
          </w:p>
        </w:tc>
      </w:tr>
      <w:tr w:rsidR="00AA7462" w:rsidRPr="00E87E32" w:rsidTr="00F620B7">
        <w:tblPrEx>
          <w:tblCellMar>
            <w:left w:w="108" w:type="dxa"/>
            <w:right w:w="108" w:type="dxa"/>
          </w:tblCellMar>
        </w:tblPrEx>
        <w:trPr>
          <w:trHeight w:val="309"/>
          <w:jc w:val="center"/>
        </w:trPr>
        <w:tc>
          <w:tcPr>
            <w:tcW w:w="3862" w:type="dxa"/>
            <w:vMerge w:val="restart"/>
          </w:tcPr>
          <w:p w:rsidR="00AA7462" w:rsidRPr="00E87E32" w:rsidRDefault="00AA7462" w:rsidP="00BA63B4">
            <w:pPr>
              <w:pStyle w:val="Tabletext"/>
            </w:pPr>
            <w:r w:rsidRPr="00E87E32">
              <w:t xml:space="preserve">24/84/25/85 (VDE 1) </w:t>
            </w:r>
          </w:p>
          <w:p w:rsidR="00AA7462" w:rsidRPr="00E87E32" w:rsidRDefault="00AA7462" w:rsidP="00BA63B4">
            <w:pPr>
              <w:pStyle w:val="Tabletext"/>
            </w:pPr>
          </w:p>
          <w:p w:rsidR="00AA7462" w:rsidRPr="00E87E32" w:rsidRDefault="00AA7462" w:rsidP="00BA63B4">
            <w:pPr>
              <w:pStyle w:val="Tabletext"/>
            </w:pPr>
          </w:p>
          <w:p w:rsidR="00AA7462" w:rsidRPr="00E87E32" w:rsidRDefault="00AA7462" w:rsidP="00BA63B4">
            <w:pPr>
              <w:pStyle w:val="Tabletext"/>
            </w:pPr>
          </w:p>
          <w:p w:rsidR="00AA7462" w:rsidRPr="00E87E32" w:rsidRDefault="00AA7462" w:rsidP="00BA63B4">
            <w:pPr>
              <w:pStyle w:val="Tabletext"/>
            </w:pPr>
          </w:p>
          <w:p w:rsidR="00AA7462" w:rsidRPr="00E87E32" w:rsidRDefault="00AA7462" w:rsidP="00BA63B4">
            <w:pPr>
              <w:pStyle w:val="Tabletext"/>
            </w:pPr>
          </w:p>
          <w:p w:rsidR="00AA7462" w:rsidRPr="00E87E32" w:rsidRDefault="00AA7462" w:rsidP="00BA63B4">
            <w:pPr>
              <w:pStyle w:val="Tabletext"/>
              <w:spacing w:after="80"/>
            </w:pPr>
            <w:r w:rsidRPr="00E87E32">
              <w:t>24</w:t>
            </w:r>
          </w:p>
          <w:p w:rsidR="00AA7462" w:rsidRPr="00E87E32" w:rsidRDefault="00AA7462" w:rsidP="00BA63B4">
            <w:pPr>
              <w:pStyle w:val="Tabletext"/>
              <w:spacing w:after="80"/>
            </w:pPr>
            <w:r w:rsidRPr="00E87E32">
              <w:t>84</w:t>
            </w:r>
          </w:p>
          <w:p w:rsidR="00AA7462" w:rsidRPr="00E87E32" w:rsidRDefault="00AA7462" w:rsidP="00BA63B4">
            <w:pPr>
              <w:pStyle w:val="Tabletext"/>
              <w:spacing w:after="80"/>
            </w:pPr>
            <w:r w:rsidRPr="00E87E32">
              <w:t>25</w:t>
            </w:r>
          </w:p>
          <w:p w:rsidR="00AA7462" w:rsidRPr="00E87E32" w:rsidRDefault="00AA7462" w:rsidP="00BA63B4">
            <w:pPr>
              <w:pStyle w:val="Tabletext"/>
              <w:spacing w:after="80"/>
              <w:rPr>
                <w:lang w:val="en-US"/>
              </w:rPr>
            </w:pPr>
            <w:r w:rsidRPr="00E87E32">
              <w:t>85</w:t>
            </w:r>
          </w:p>
        </w:tc>
        <w:tc>
          <w:tcPr>
            <w:tcW w:w="2841" w:type="dxa"/>
          </w:tcPr>
          <w:p w:rsidR="00AA7462" w:rsidRPr="00E87E32" w:rsidRDefault="00AA7462" w:rsidP="00F620B7">
            <w:pPr>
              <w:pStyle w:val="Tabletext"/>
              <w:rPr>
                <w:lang w:val="en-US"/>
              </w:rPr>
            </w:pPr>
            <w:r w:rsidRPr="00E87E32">
              <w:rPr>
                <w:lang w:val="en-US" w:eastAsia="ja-JP"/>
              </w:rPr>
              <w:t>25/</w:t>
            </w:r>
            <w:r w:rsidRPr="00E87E32">
              <w:rPr>
                <w:lang w:val="en-US"/>
              </w:rPr>
              <w:t>100 kHz channel</w:t>
            </w:r>
          </w:p>
          <w:p w:rsidR="00AA7462" w:rsidRPr="00E87E32" w:rsidRDefault="00AA7462" w:rsidP="00F620B7">
            <w:pPr>
              <w:pStyle w:val="Tabletext"/>
              <w:rPr>
                <w:lang w:val="en-US"/>
              </w:rPr>
            </w:pPr>
            <w:r w:rsidRPr="00E87E32">
              <w:rPr>
                <w:lang w:val="en-US"/>
              </w:rPr>
              <w:t>(24/84/25/85, lower legs, merged)</w:t>
            </w:r>
          </w:p>
          <w:p w:rsidR="00AA7462" w:rsidRPr="00E87E32" w:rsidRDefault="00AA7462" w:rsidP="00F620B7">
            <w:pPr>
              <w:pStyle w:val="Tabletext"/>
              <w:rPr>
                <w:lang w:val="en-US"/>
              </w:rPr>
            </w:pPr>
            <w:r w:rsidRPr="00E87E32">
              <w:rPr>
                <w:lang w:val="en-US"/>
              </w:rPr>
              <w:t>Ship to shore</w:t>
            </w:r>
          </w:p>
          <w:p w:rsidR="00AA7462" w:rsidRPr="00E87E32" w:rsidRDefault="00AA7462" w:rsidP="00F620B7">
            <w:pPr>
              <w:pStyle w:val="Tabletext"/>
              <w:rPr>
                <w:lang w:val="en-US"/>
              </w:rPr>
            </w:pPr>
            <w:r w:rsidRPr="00E87E32">
              <w:rPr>
                <w:lang w:val="en-US"/>
              </w:rPr>
              <w:t>Ship to satellite</w:t>
            </w:r>
          </w:p>
        </w:tc>
        <w:tc>
          <w:tcPr>
            <w:tcW w:w="2562" w:type="dxa"/>
          </w:tcPr>
          <w:p w:rsidR="00AA7462" w:rsidRPr="00E87E32" w:rsidRDefault="00AA7462" w:rsidP="00F620B7">
            <w:pPr>
              <w:pStyle w:val="Tabletext"/>
              <w:rPr>
                <w:lang w:val="en-US"/>
              </w:rPr>
            </w:pPr>
            <w:r w:rsidRPr="00E87E32">
              <w:rPr>
                <w:lang w:val="en-US" w:eastAsia="ja-JP"/>
              </w:rPr>
              <w:t>25/</w:t>
            </w:r>
            <w:r w:rsidRPr="00E87E32">
              <w:rPr>
                <w:lang w:val="en-US"/>
              </w:rPr>
              <w:t>100 kHz channel</w:t>
            </w:r>
          </w:p>
          <w:p w:rsidR="00AA7462" w:rsidRPr="00E87E32" w:rsidRDefault="00AA7462" w:rsidP="00F620B7">
            <w:pPr>
              <w:pStyle w:val="Tabletext"/>
              <w:rPr>
                <w:lang w:val="en-US"/>
              </w:rPr>
            </w:pPr>
            <w:r w:rsidRPr="00E87E32">
              <w:rPr>
                <w:lang w:val="en-US"/>
              </w:rPr>
              <w:t>(24/84/25/85, upper legs, merged)</w:t>
            </w:r>
          </w:p>
          <w:p w:rsidR="00AA7462" w:rsidRPr="00E87E32" w:rsidRDefault="00AA7462" w:rsidP="00F620B7">
            <w:pPr>
              <w:pStyle w:val="Tabletext"/>
              <w:rPr>
                <w:lang w:val="en-US"/>
              </w:rPr>
            </w:pPr>
            <w:r w:rsidRPr="00E87E32">
              <w:rPr>
                <w:lang w:val="en-US"/>
              </w:rPr>
              <w:t>Ship to ship, Shore to ship</w:t>
            </w:r>
          </w:p>
          <w:p w:rsidR="00AA7462" w:rsidRPr="00E87E32" w:rsidRDefault="00AA7462" w:rsidP="00F620B7">
            <w:pPr>
              <w:pStyle w:val="Tabletext"/>
              <w:rPr>
                <w:lang w:val="en-US"/>
              </w:rPr>
            </w:pPr>
            <w:r w:rsidRPr="00E87E32">
              <w:rPr>
                <w:lang w:val="en-US"/>
              </w:rPr>
              <w:t>Satellite to ship under certain conditions</w:t>
            </w:r>
          </w:p>
        </w:tc>
      </w:tr>
      <w:tr w:rsidR="00AA7462" w:rsidRPr="00E87E32" w:rsidTr="00F620B7">
        <w:tblPrEx>
          <w:tblCellMar>
            <w:left w:w="108" w:type="dxa"/>
            <w:right w:w="108" w:type="dxa"/>
          </w:tblCellMar>
        </w:tblPrEx>
        <w:trPr>
          <w:trHeight w:val="144"/>
          <w:jc w:val="center"/>
        </w:trPr>
        <w:tc>
          <w:tcPr>
            <w:tcW w:w="3862" w:type="dxa"/>
            <w:vMerge/>
          </w:tcPr>
          <w:p w:rsidR="00AA7462" w:rsidRPr="00E87E32" w:rsidRDefault="00AA7462" w:rsidP="00F620B7">
            <w:pPr>
              <w:pStyle w:val="Tabletext"/>
              <w:rPr>
                <w:lang w:val="en-US"/>
              </w:rPr>
            </w:pPr>
          </w:p>
        </w:tc>
        <w:tc>
          <w:tcPr>
            <w:tcW w:w="2841" w:type="dxa"/>
          </w:tcPr>
          <w:p w:rsidR="00AA7462" w:rsidRPr="00E87E32" w:rsidRDefault="00AA7462" w:rsidP="00F620B7">
            <w:pPr>
              <w:pStyle w:val="Tabletext"/>
            </w:pPr>
            <w:r w:rsidRPr="00E87E32">
              <w:t>157.200 (1024)</w:t>
            </w:r>
          </w:p>
        </w:tc>
        <w:tc>
          <w:tcPr>
            <w:tcW w:w="2562" w:type="dxa"/>
          </w:tcPr>
          <w:p w:rsidR="00AA7462" w:rsidRPr="00E87E32" w:rsidRDefault="00AA7462" w:rsidP="00F620B7">
            <w:pPr>
              <w:pStyle w:val="Tabletext"/>
              <w:rPr>
                <w:lang w:val="en-US"/>
              </w:rPr>
            </w:pPr>
            <w:r w:rsidRPr="00E87E32">
              <w:t>161.800 (2024)</w:t>
            </w:r>
          </w:p>
        </w:tc>
      </w:tr>
      <w:tr w:rsidR="00AA7462" w:rsidRPr="00E87E32" w:rsidTr="00F620B7">
        <w:tblPrEx>
          <w:tblCellMar>
            <w:left w:w="108" w:type="dxa"/>
            <w:right w:w="108" w:type="dxa"/>
          </w:tblCellMar>
        </w:tblPrEx>
        <w:trPr>
          <w:trHeight w:val="168"/>
          <w:jc w:val="center"/>
        </w:trPr>
        <w:tc>
          <w:tcPr>
            <w:tcW w:w="3862" w:type="dxa"/>
            <w:vMerge/>
          </w:tcPr>
          <w:p w:rsidR="00AA7462" w:rsidRPr="00E87E32" w:rsidRDefault="00AA7462" w:rsidP="00F620B7">
            <w:pPr>
              <w:pStyle w:val="Tabletext"/>
            </w:pPr>
          </w:p>
        </w:tc>
        <w:tc>
          <w:tcPr>
            <w:tcW w:w="2841" w:type="dxa"/>
          </w:tcPr>
          <w:p w:rsidR="00AA7462" w:rsidRPr="00E87E32" w:rsidRDefault="00AA7462" w:rsidP="00F620B7">
            <w:pPr>
              <w:pStyle w:val="Tabletext"/>
            </w:pPr>
            <w:r w:rsidRPr="00E87E32">
              <w:t>157.225 (1084)</w:t>
            </w:r>
          </w:p>
        </w:tc>
        <w:tc>
          <w:tcPr>
            <w:tcW w:w="2562" w:type="dxa"/>
          </w:tcPr>
          <w:p w:rsidR="00AA7462" w:rsidRPr="00E87E32" w:rsidRDefault="00AA7462" w:rsidP="00F620B7">
            <w:pPr>
              <w:pStyle w:val="Tabletext"/>
              <w:rPr>
                <w:lang w:val="en-US"/>
              </w:rPr>
            </w:pPr>
            <w:r w:rsidRPr="00E87E32">
              <w:t>161.825 (2084)</w:t>
            </w:r>
          </w:p>
        </w:tc>
      </w:tr>
      <w:tr w:rsidR="00AA7462" w:rsidRPr="00E87E32" w:rsidTr="00F620B7">
        <w:tblPrEx>
          <w:tblCellMar>
            <w:left w:w="108" w:type="dxa"/>
            <w:right w:w="108" w:type="dxa"/>
          </w:tblCellMar>
        </w:tblPrEx>
        <w:trPr>
          <w:trHeight w:val="167"/>
          <w:jc w:val="center"/>
        </w:trPr>
        <w:tc>
          <w:tcPr>
            <w:tcW w:w="3862" w:type="dxa"/>
            <w:vMerge/>
          </w:tcPr>
          <w:p w:rsidR="00AA7462" w:rsidRPr="00E87E32" w:rsidRDefault="00AA7462" w:rsidP="00F620B7">
            <w:pPr>
              <w:pStyle w:val="Tabletext"/>
            </w:pPr>
          </w:p>
        </w:tc>
        <w:tc>
          <w:tcPr>
            <w:tcW w:w="2841" w:type="dxa"/>
          </w:tcPr>
          <w:p w:rsidR="00AA7462" w:rsidRPr="00E87E32" w:rsidRDefault="00AA7462" w:rsidP="00F620B7">
            <w:pPr>
              <w:pStyle w:val="Tabletext"/>
              <w:rPr>
                <w:lang w:val="en-US"/>
              </w:rPr>
            </w:pPr>
            <w:r w:rsidRPr="00E87E32">
              <w:t>157.250 (1025)</w:t>
            </w:r>
          </w:p>
        </w:tc>
        <w:tc>
          <w:tcPr>
            <w:tcW w:w="2562" w:type="dxa"/>
          </w:tcPr>
          <w:p w:rsidR="00AA7462" w:rsidRPr="00E87E32" w:rsidRDefault="00AA7462" w:rsidP="00F620B7">
            <w:pPr>
              <w:pStyle w:val="Tabletext"/>
              <w:rPr>
                <w:lang w:val="en-US"/>
              </w:rPr>
            </w:pPr>
            <w:r w:rsidRPr="00E87E32">
              <w:t>161.850 (2025)</w:t>
            </w:r>
          </w:p>
        </w:tc>
      </w:tr>
      <w:tr w:rsidR="00AA7462" w:rsidRPr="00E87E32" w:rsidTr="00F620B7">
        <w:tblPrEx>
          <w:tblCellMar>
            <w:left w:w="108" w:type="dxa"/>
            <w:right w:w="108" w:type="dxa"/>
          </w:tblCellMar>
        </w:tblPrEx>
        <w:trPr>
          <w:trHeight w:val="167"/>
          <w:jc w:val="center"/>
        </w:trPr>
        <w:tc>
          <w:tcPr>
            <w:tcW w:w="3862" w:type="dxa"/>
            <w:vMerge/>
          </w:tcPr>
          <w:p w:rsidR="00AA7462" w:rsidRPr="00E87E32" w:rsidRDefault="00AA7462" w:rsidP="00F620B7">
            <w:pPr>
              <w:pStyle w:val="Tabletext"/>
            </w:pPr>
          </w:p>
        </w:tc>
        <w:tc>
          <w:tcPr>
            <w:tcW w:w="2841" w:type="dxa"/>
          </w:tcPr>
          <w:p w:rsidR="00AA7462" w:rsidRPr="00E87E32" w:rsidRDefault="00AA7462" w:rsidP="00F620B7">
            <w:pPr>
              <w:pStyle w:val="Tabletext"/>
              <w:rPr>
                <w:lang w:val="en-US"/>
              </w:rPr>
            </w:pPr>
            <w:r w:rsidRPr="00E87E32">
              <w:t>157.275 (1085)</w:t>
            </w:r>
          </w:p>
        </w:tc>
        <w:tc>
          <w:tcPr>
            <w:tcW w:w="2562" w:type="dxa"/>
          </w:tcPr>
          <w:p w:rsidR="00AA7462" w:rsidRPr="00E87E32" w:rsidRDefault="00AA7462" w:rsidP="00F620B7">
            <w:pPr>
              <w:pStyle w:val="Tabletext"/>
              <w:rPr>
                <w:lang w:val="en-US"/>
              </w:rPr>
            </w:pPr>
            <w:r w:rsidRPr="00E87E32">
              <w:t>161.875 (2085)</w:t>
            </w:r>
          </w:p>
        </w:tc>
      </w:tr>
      <w:tr w:rsidR="00AA7462" w:rsidRPr="00E87E32" w:rsidTr="00F620B7">
        <w:tblPrEx>
          <w:tblCellMar>
            <w:left w:w="108" w:type="dxa"/>
            <w:right w:w="108" w:type="dxa"/>
          </w:tblCellMar>
        </w:tblPrEx>
        <w:trPr>
          <w:trHeight w:val="476"/>
          <w:jc w:val="center"/>
        </w:trPr>
        <w:tc>
          <w:tcPr>
            <w:tcW w:w="3862" w:type="dxa"/>
            <w:vMerge w:val="restart"/>
          </w:tcPr>
          <w:p w:rsidR="00AA7462" w:rsidRPr="00E87E32" w:rsidRDefault="00AA7462" w:rsidP="00BA63B4">
            <w:pPr>
              <w:pStyle w:val="Tabletext"/>
              <w:rPr>
                <w:lang w:val="en-US"/>
              </w:rPr>
            </w:pPr>
            <w:r w:rsidRPr="00E87E32">
              <w:t>26/86 (SAT 1</w:t>
            </w:r>
            <w:r>
              <w:t>/VDE 2</w:t>
            </w:r>
            <w:r w:rsidRPr="00E87E32">
              <w:t>)</w:t>
            </w:r>
          </w:p>
          <w:p w:rsidR="00AA7462" w:rsidRPr="00E87E32" w:rsidRDefault="00AA7462" w:rsidP="00BA63B4">
            <w:pPr>
              <w:pStyle w:val="Tabletext"/>
            </w:pPr>
          </w:p>
          <w:p w:rsidR="00AA7462" w:rsidRPr="00E87E32" w:rsidRDefault="00AA7462" w:rsidP="00BA63B4">
            <w:pPr>
              <w:pStyle w:val="Tabletext"/>
            </w:pPr>
          </w:p>
          <w:p w:rsidR="00AA7462" w:rsidRPr="00E87E32" w:rsidRDefault="00AA7462" w:rsidP="00BA63B4">
            <w:pPr>
              <w:pStyle w:val="Tabletext"/>
            </w:pPr>
          </w:p>
          <w:p w:rsidR="00AA7462" w:rsidRPr="00E87E32" w:rsidRDefault="00AA7462" w:rsidP="00BA63B4">
            <w:pPr>
              <w:pStyle w:val="Tabletext"/>
              <w:spacing w:after="80"/>
              <w:rPr>
                <w:lang w:val="en-US"/>
              </w:rPr>
            </w:pPr>
            <w:r w:rsidRPr="00E87E32">
              <w:t>26</w:t>
            </w:r>
          </w:p>
          <w:p w:rsidR="00AA7462" w:rsidRPr="00E87E32" w:rsidRDefault="00AA7462" w:rsidP="00BA63B4">
            <w:pPr>
              <w:pStyle w:val="Tabletext"/>
              <w:spacing w:after="80"/>
            </w:pPr>
            <w:r w:rsidRPr="00E87E32">
              <w:t>86</w:t>
            </w:r>
          </w:p>
        </w:tc>
        <w:tc>
          <w:tcPr>
            <w:tcW w:w="2841" w:type="dxa"/>
          </w:tcPr>
          <w:p w:rsidR="00AA7462" w:rsidRPr="00E87E32" w:rsidRDefault="00AA7462" w:rsidP="00F620B7">
            <w:pPr>
              <w:pStyle w:val="Tabletext"/>
              <w:rPr>
                <w:lang w:val="en-US"/>
              </w:rPr>
            </w:pPr>
            <w:r w:rsidRPr="00E87E32">
              <w:rPr>
                <w:lang w:val="en-US" w:eastAsia="ja-JP"/>
              </w:rPr>
              <w:t>25/</w:t>
            </w:r>
            <w:r w:rsidRPr="00E87E32">
              <w:rPr>
                <w:lang w:val="en-US"/>
              </w:rPr>
              <w:t>50 kHz channel</w:t>
            </w:r>
          </w:p>
          <w:p w:rsidR="00AA7462" w:rsidRPr="00E87E32" w:rsidRDefault="00AA7462" w:rsidP="00F620B7">
            <w:pPr>
              <w:pStyle w:val="Tabletext"/>
              <w:rPr>
                <w:lang w:val="en-US"/>
              </w:rPr>
            </w:pPr>
            <w:r w:rsidRPr="00E87E32">
              <w:rPr>
                <w:lang w:val="en-US"/>
              </w:rPr>
              <w:t>(26/86, lower legs, merged)</w:t>
            </w:r>
          </w:p>
          <w:p w:rsidR="00AA7462" w:rsidRPr="00E87E32" w:rsidRDefault="00AA7462" w:rsidP="00F620B7">
            <w:pPr>
              <w:pStyle w:val="Tabletext"/>
              <w:rPr>
                <w:lang w:val="en-US"/>
              </w:rPr>
            </w:pPr>
            <w:proofErr w:type="spellStart"/>
            <w:r w:rsidRPr="00E87E32">
              <w:t>Ship</w:t>
            </w:r>
            <w:proofErr w:type="spellEnd"/>
            <w:r w:rsidRPr="00E87E32">
              <w:t xml:space="preserve"> to satellite</w:t>
            </w:r>
            <w:r>
              <w:t>/shore</w:t>
            </w:r>
          </w:p>
        </w:tc>
        <w:tc>
          <w:tcPr>
            <w:tcW w:w="2562" w:type="dxa"/>
          </w:tcPr>
          <w:p w:rsidR="00AA7462" w:rsidRPr="00E87E32" w:rsidRDefault="00AA7462" w:rsidP="00F620B7">
            <w:pPr>
              <w:pStyle w:val="Tabletext"/>
              <w:rPr>
                <w:lang w:val="en-US"/>
              </w:rPr>
            </w:pPr>
            <w:r w:rsidRPr="00E87E32">
              <w:rPr>
                <w:lang w:val="en-US" w:eastAsia="ja-JP"/>
              </w:rPr>
              <w:t>25/</w:t>
            </w:r>
            <w:r w:rsidRPr="00E87E32">
              <w:rPr>
                <w:lang w:val="en-US"/>
              </w:rPr>
              <w:t>50 kHz channel</w:t>
            </w:r>
          </w:p>
          <w:p w:rsidR="00AA7462" w:rsidRPr="00E87E32" w:rsidRDefault="00AA7462" w:rsidP="00F620B7">
            <w:pPr>
              <w:pStyle w:val="Tabletext"/>
              <w:rPr>
                <w:lang w:val="en-US"/>
              </w:rPr>
            </w:pPr>
            <w:r w:rsidRPr="00E87E32">
              <w:rPr>
                <w:lang w:val="en-US"/>
              </w:rPr>
              <w:t>(26/86, upper legs, merged)</w:t>
            </w:r>
          </w:p>
          <w:p w:rsidR="00AA7462" w:rsidRPr="00E87E32" w:rsidRDefault="00AA7462" w:rsidP="00F620B7">
            <w:pPr>
              <w:pStyle w:val="Tabletext"/>
              <w:rPr>
                <w:lang w:val="en-US"/>
              </w:rPr>
            </w:pPr>
            <w:r w:rsidRPr="00E87E32">
              <w:t>Satellite</w:t>
            </w:r>
            <w:r>
              <w:t>/shore</w:t>
            </w:r>
            <w:r w:rsidRPr="00E87E32">
              <w:t xml:space="preserve"> to </w:t>
            </w:r>
            <w:proofErr w:type="spellStart"/>
            <w:r w:rsidRPr="00E87E32">
              <w:t>ship</w:t>
            </w:r>
            <w:proofErr w:type="spellEnd"/>
          </w:p>
        </w:tc>
      </w:tr>
      <w:tr w:rsidR="00AA7462" w:rsidRPr="00E87E32" w:rsidTr="00F620B7">
        <w:tblPrEx>
          <w:tblCellMar>
            <w:left w:w="108" w:type="dxa"/>
            <w:right w:w="108" w:type="dxa"/>
          </w:tblCellMar>
        </w:tblPrEx>
        <w:trPr>
          <w:trHeight w:val="270"/>
          <w:jc w:val="center"/>
        </w:trPr>
        <w:tc>
          <w:tcPr>
            <w:tcW w:w="0" w:type="auto"/>
            <w:vMerge/>
          </w:tcPr>
          <w:p w:rsidR="00AA7462" w:rsidRPr="00E87E32" w:rsidRDefault="00AA7462" w:rsidP="00F620B7">
            <w:pPr>
              <w:pStyle w:val="Tabletext"/>
              <w:rPr>
                <w:lang w:val="en-US"/>
              </w:rPr>
            </w:pPr>
          </w:p>
        </w:tc>
        <w:tc>
          <w:tcPr>
            <w:tcW w:w="2841" w:type="dxa"/>
          </w:tcPr>
          <w:p w:rsidR="00AA7462" w:rsidRPr="00E87E32" w:rsidRDefault="00AA7462" w:rsidP="00F620B7">
            <w:pPr>
              <w:pStyle w:val="Tabletext"/>
              <w:rPr>
                <w:lang w:val="en-US"/>
              </w:rPr>
            </w:pPr>
            <w:r w:rsidRPr="00E87E32">
              <w:t>157.300 (1026)</w:t>
            </w:r>
          </w:p>
        </w:tc>
        <w:tc>
          <w:tcPr>
            <w:tcW w:w="2562" w:type="dxa"/>
          </w:tcPr>
          <w:p w:rsidR="00AA7462" w:rsidRPr="00E87E32" w:rsidRDefault="00AA7462" w:rsidP="00F620B7">
            <w:pPr>
              <w:pStyle w:val="Tabletext"/>
              <w:rPr>
                <w:lang w:val="en-US"/>
              </w:rPr>
            </w:pPr>
            <w:r w:rsidRPr="00E87E32">
              <w:t>161.900 (2026)</w:t>
            </w:r>
          </w:p>
        </w:tc>
      </w:tr>
      <w:tr w:rsidR="00AA7462" w:rsidRPr="00E87E32" w:rsidTr="00F620B7">
        <w:tblPrEx>
          <w:tblCellMar>
            <w:left w:w="108" w:type="dxa"/>
            <w:right w:w="108" w:type="dxa"/>
          </w:tblCellMar>
        </w:tblPrEx>
        <w:trPr>
          <w:trHeight w:val="327"/>
          <w:jc w:val="center"/>
        </w:trPr>
        <w:tc>
          <w:tcPr>
            <w:tcW w:w="0" w:type="auto"/>
            <w:vMerge/>
          </w:tcPr>
          <w:p w:rsidR="00AA7462" w:rsidRPr="00E87E32" w:rsidRDefault="00AA7462" w:rsidP="00F620B7">
            <w:pPr>
              <w:pStyle w:val="Tabletext"/>
              <w:rPr>
                <w:lang w:val="en-US"/>
              </w:rPr>
            </w:pPr>
          </w:p>
        </w:tc>
        <w:tc>
          <w:tcPr>
            <w:tcW w:w="2841" w:type="dxa"/>
          </w:tcPr>
          <w:p w:rsidR="00AA7462" w:rsidRPr="00E87E32" w:rsidRDefault="00AA7462" w:rsidP="00F620B7">
            <w:pPr>
              <w:pStyle w:val="Tabletext"/>
              <w:rPr>
                <w:lang w:val="en-US"/>
              </w:rPr>
            </w:pPr>
            <w:r w:rsidRPr="00E87E32">
              <w:t>157.325 (1086)</w:t>
            </w:r>
          </w:p>
        </w:tc>
        <w:tc>
          <w:tcPr>
            <w:tcW w:w="2562" w:type="dxa"/>
          </w:tcPr>
          <w:p w:rsidR="00AA7462" w:rsidRPr="00E87E32" w:rsidRDefault="00AA7462" w:rsidP="00F620B7">
            <w:pPr>
              <w:pStyle w:val="Tabletext"/>
              <w:rPr>
                <w:lang w:val="en-US"/>
              </w:rPr>
            </w:pPr>
            <w:r w:rsidRPr="00E87E32">
              <w:t>161.925 (2086)</w:t>
            </w:r>
          </w:p>
        </w:tc>
      </w:tr>
    </w:tbl>
    <w:p w:rsidR="00AA7462" w:rsidRDefault="00AA7462" w:rsidP="00F44BD9">
      <w:pPr>
        <w:keepNext/>
        <w:keepLines/>
        <w:tabs>
          <w:tab w:val="clear" w:pos="794"/>
          <w:tab w:val="clear" w:pos="1191"/>
          <w:tab w:val="clear" w:pos="1588"/>
          <w:tab w:val="clear" w:pos="1985"/>
          <w:tab w:val="left" w:pos="1134"/>
          <w:tab w:val="left" w:pos="1871"/>
          <w:tab w:val="left" w:pos="2268"/>
        </w:tabs>
        <w:spacing w:before="0" w:after="120"/>
        <w:jc w:val="center"/>
        <w:rPr>
          <w:b/>
          <w:szCs w:val="24"/>
          <w:lang w:val="en-US"/>
        </w:rPr>
      </w:pPr>
    </w:p>
    <w:p w:rsidR="00AA7462" w:rsidRDefault="00AA7462" w:rsidP="00E11DDA">
      <w:pPr>
        <w:pStyle w:val="Heading1"/>
        <w:ind w:left="792" w:hanging="792"/>
        <w:rPr>
          <w:lang w:val="en-US"/>
        </w:rPr>
      </w:pPr>
      <w:r w:rsidRPr="00E72C9B">
        <w:rPr>
          <w:lang w:val="en-US"/>
        </w:rPr>
        <w:t>3</w:t>
      </w:r>
      <w:r w:rsidRPr="00E72C9B">
        <w:rPr>
          <w:lang w:val="en-US"/>
        </w:rPr>
        <w:tab/>
        <w:t>Identification</w:t>
      </w:r>
    </w:p>
    <w:p w:rsidR="00AA7462" w:rsidRDefault="00AA7462" w:rsidP="0027560D">
      <w:pPr>
        <w:rPr>
          <w:lang w:val="en-US"/>
        </w:rPr>
      </w:pPr>
      <w:r>
        <w:rPr>
          <w:lang w:val="en-US"/>
        </w:rPr>
        <w:t xml:space="preserve">Identification and location of all active maritime stations is provided automatically by the AIS. All VDES stations, including satellite stations, should receive AIS messages that identify and locate the source of AIS message transmissions. For the purpose of identification, the appropriate numerical </w:t>
      </w:r>
      <w:proofErr w:type="spellStart"/>
      <w:r>
        <w:rPr>
          <w:lang w:val="en-US"/>
        </w:rPr>
        <w:t>identitfier</w:t>
      </w:r>
      <w:proofErr w:type="spellEnd"/>
      <w:r>
        <w:rPr>
          <w:lang w:val="en-US"/>
        </w:rPr>
        <w:t>, for example MMSI, could be used, as defined in the latest version of Recommendation ITU-R M.585. Recommendation ITU-R M.1080 should not be applied with respect to the 10th digit (least significant digit). AIS should only transmit if an MMSI is programmed.</w:t>
      </w:r>
    </w:p>
    <w:p w:rsidR="00AA7462" w:rsidRDefault="00AA7462" w:rsidP="00040A91">
      <w:pPr>
        <w:pStyle w:val="Heading1"/>
        <w:spacing w:before="240"/>
        <w:ind w:left="792" w:hanging="792"/>
        <w:rPr>
          <w:lang w:val="en-US"/>
        </w:rPr>
      </w:pPr>
      <w:r>
        <w:rPr>
          <w:lang w:val="en-US"/>
        </w:rPr>
        <w:lastRenderedPageBreak/>
        <w:t>4</w:t>
      </w:r>
      <w:r>
        <w:rPr>
          <w:lang w:val="en-US"/>
        </w:rPr>
        <w:tab/>
        <w:t>AIS</w:t>
      </w:r>
    </w:p>
    <w:p w:rsidR="00AA7462" w:rsidRPr="00A04AD9" w:rsidRDefault="00AA7462" w:rsidP="00A04AD9">
      <w:pPr>
        <w:rPr>
          <w:lang w:val="en-US"/>
        </w:rPr>
      </w:pPr>
      <w:proofErr w:type="gramStart"/>
      <w:r>
        <w:rPr>
          <w:lang w:val="en-US"/>
        </w:rPr>
        <w:t>AIS is</w:t>
      </w:r>
      <w:proofErr w:type="gramEnd"/>
      <w:r>
        <w:rPr>
          <w:lang w:val="en-US"/>
        </w:rPr>
        <w:t xml:space="preserve"> a part of VDES in </w:t>
      </w:r>
      <w:proofErr w:type="spellStart"/>
      <w:r>
        <w:rPr>
          <w:lang w:val="en-US"/>
        </w:rPr>
        <w:t>shipborne</w:t>
      </w:r>
      <w:proofErr w:type="spellEnd"/>
      <w:r>
        <w:rPr>
          <w:lang w:val="en-US"/>
        </w:rPr>
        <w:t xml:space="preserve"> stations, shore base stations and satellite stations. AIS should have the highest priority in the VDES, and all other functions should be organized such that the AIS </w:t>
      </w:r>
      <w:proofErr w:type="gramStart"/>
      <w:r>
        <w:rPr>
          <w:lang w:val="en-US"/>
        </w:rPr>
        <w:t>is</w:t>
      </w:r>
      <w:proofErr w:type="gramEnd"/>
      <w:r>
        <w:rPr>
          <w:lang w:val="en-US"/>
        </w:rPr>
        <w:t xml:space="preserve"> not adversely affected and its transmission schedule is not delayed. </w:t>
      </w:r>
    </w:p>
    <w:p w:rsidR="00AA7462" w:rsidRDefault="00AA7462" w:rsidP="000253A4">
      <w:pPr>
        <w:pStyle w:val="Heading2"/>
        <w:rPr>
          <w:lang w:val="en-US"/>
        </w:rPr>
      </w:pPr>
      <w:r>
        <w:rPr>
          <w:lang w:val="en-US"/>
        </w:rPr>
        <w:t>4.1</w:t>
      </w:r>
      <w:r>
        <w:rPr>
          <w:lang w:val="en-US"/>
        </w:rPr>
        <w:tab/>
        <w:t>AIS VHF data link (VDL) non-controlling stations</w:t>
      </w:r>
    </w:p>
    <w:p w:rsidR="00AA7462" w:rsidRDefault="00AA7462" w:rsidP="000253A4">
      <w:pPr>
        <w:pStyle w:val="Heading2"/>
        <w:rPr>
          <w:lang w:val="en-US"/>
        </w:rPr>
      </w:pPr>
      <w:r>
        <w:rPr>
          <w:lang w:val="en-US"/>
        </w:rPr>
        <w:t>4.1.1</w:t>
      </w:r>
      <w:r>
        <w:rPr>
          <w:lang w:val="en-US"/>
        </w:rPr>
        <w:tab/>
        <w:t xml:space="preserve">AIS </w:t>
      </w:r>
      <w:proofErr w:type="spellStart"/>
      <w:r>
        <w:rPr>
          <w:lang w:val="en-US"/>
        </w:rPr>
        <w:t>shipborne</w:t>
      </w:r>
      <w:proofErr w:type="spellEnd"/>
      <w:r>
        <w:rPr>
          <w:lang w:val="en-US"/>
        </w:rPr>
        <w:t xml:space="preserve"> station</w:t>
      </w:r>
    </w:p>
    <w:p w:rsidR="00AA7462" w:rsidRDefault="00AA7462" w:rsidP="000253A4">
      <w:pPr>
        <w:rPr>
          <w:lang w:val="en-US"/>
        </w:rPr>
      </w:pPr>
      <w:proofErr w:type="gramStart"/>
      <w:r>
        <w:rPr>
          <w:bCs/>
          <w:lang w:val="en-US"/>
        </w:rPr>
        <w:t>The  AIS</w:t>
      </w:r>
      <w:proofErr w:type="gramEnd"/>
      <w:r>
        <w:rPr>
          <w:bCs/>
          <w:lang w:val="en-US"/>
        </w:rPr>
        <w:t xml:space="preserve"> part  of the </w:t>
      </w:r>
      <w:proofErr w:type="spellStart"/>
      <w:r>
        <w:rPr>
          <w:bCs/>
          <w:lang w:val="en-US"/>
        </w:rPr>
        <w:t>shipborne</w:t>
      </w:r>
      <w:proofErr w:type="spellEnd"/>
      <w:r>
        <w:rPr>
          <w:bCs/>
          <w:lang w:val="en-US"/>
        </w:rPr>
        <w:t xml:space="preserve"> VDES should conform to requirements for </w:t>
      </w:r>
      <w:r>
        <w:rPr>
          <w:lang w:val="en-US"/>
        </w:rPr>
        <w:t xml:space="preserve">Class A </w:t>
      </w:r>
      <w:proofErr w:type="spellStart"/>
      <w:r>
        <w:rPr>
          <w:lang w:val="en-US"/>
        </w:rPr>
        <w:t>shipborne</w:t>
      </w:r>
      <w:proofErr w:type="spellEnd"/>
      <w:r>
        <w:rPr>
          <w:lang w:val="en-US"/>
        </w:rPr>
        <w:t xml:space="preserve"> mobile equipment using SOTDMA technology as described in Recommendation ITU-R M.1371,  except that channel switching should not be used.</w:t>
      </w:r>
    </w:p>
    <w:p w:rsidR="00AA7462" w:rsidRDefault="00AA7462" w:rsidP="00ED2A44">
      <w:pPr>
        <w:pStyle w:val="Heading2"/>
        <w:keepNext w:val="0"/>
        <w:spacing w:before="240"/>
        <w:ind w:left="792" w:hanging="792"/>
        <w:rPr>
          <w:lang w:val="en-US"/>
        </w:rPr>
      </w:pPr>
      <w:bookmarkStart w:id="4" w:name="_Toc440783957"/>
      <w:r>
        <w:rPr>
          <w:lang w:val="en-US"/>
        </w:rPr>
        <w:t>4.2</w:t>
      </w:r>
      <w:r>
        <w:rPr>
          <w:lang w:val="en-US"/>
        </w:rPr>
        <w:tab/>
        <w:t>AIS VDL controlling stations</w:t>
      </w:r>
    </w:p>
    <w:p w:rsidR="00AA7462" w:rsidRDefault="00AA7462" w:rsidP="000253A4">
      <w:pPr>
        <w:pStyle w:val="Heading3"/>
        <w:keepNext w:val="0"/>
        <w:rPr>
          <w:lang w:val="en-US"/>
        </w:rPr>
      </w:pPr>
      <w:r>
        <w:rPr>
          <w:lang w:val="en-US"/>
        </w:rPr>
        <w:t>4.2.1</w:t>
      </w:r>
      <w:r>
        <w:rPr>
          <w:lang w:val="en-US"/>
        </w:rPr>
        <w:tab/>
        <w:t>AIS shore base station</w:t>
      </w:r>
    </w:p>
    <w:p w:rsidR="00AA7462" w:rsidRPr="00B16D46" w:rsidRDefault="00AA7462" w:rsidP="00B16D46">
      <w:pPr>
        <w:rPr>
          <w:lang w:val="en-US"/>
        </w:rPr>
      </w:pPr>
      <w:proofErr w:type="gramStart"/>
      <w:r>
        <w:rPr>
          <w:lang w:val="en-US"/>
        </w:rPr>
        <w:t>The  AIS</w:t>
      </w:r>
      <w:proofErr w:type="gramEnd"/>
      <w:r>
        <w:rPr>
          <w:lang w:val="en-US"/>
        </w:rPr>
        <w:t xml:space="preserve"> part of the VDES shore base station should conform to the requirements for AIS base stations as described in Recommendation ITU-R M.1371, except that channel switching should not be used in conjunction with VDES. AIS should have the highest priority of all functions in the VDES shore base station, and all other functions should be organized such that the AIS </w:t>
      </w:r>
      <w:proofErr w:type="gramStart"/>
      <w:r>
        <w:rPr>
          <w:lang w:val="en-US"/>
        </w:rPr>
        <w:t>is</w:t>
      </w:r>
      <w:proofErr w:type="gramEnd"/>
      <w:r>
        <w:rPr>
          <w:lang w:val="en-US"/>
        </w:rPr>
        <w:t xml:space="preserve"> not adversely affected and its transmission schedule is not delayed.</w:t>
      </w:r>
    </w:p>
    <w:bookmarkEnd w:id="4"/>
    <w:p w:rsidR="00AA7462" w:rsidRPr="00A13E24" w:rsidRDefault="00AA7462" w:rsidP="00C65235">
      <w:pPr>
        <w:spacing w:before="240"/>
        <w:rPr>
          <w:b/>
          <w:lang w:val="en-US"/>
        </w:rPr>
      </w:pPr>
      <w:r>
        <w:rPr>
          <w:b/>
          <w:lang w:val="en-US"/>
        </w:rPr>
        <w:t>5</w:t>
      </w:r>
      <w:r>
        <w:rPr>
          <w:b/>
          <w:lang w:val="en-US"/>
        </w:rPr>
        <w:tab/>
        <w:t xml:space="preserve">Application specific messages (ASM) </w:t>
      </w:r>
    </w:p>
    <w:p w:rsidR="00AA7462" w:rsidRDefault="00AA7462" w:rsidP="000253A4">
      <w:pPr>
        <w:rPr>
          <w:lang w:val="en-US"/>
        </w:rPr>
      </w:pPr>
      <w:r>
        <w:rPr>
          <w:lang w:val="en-US"/>
        </w:rPr>
        <w:t xml:space="preserve">For the VDES, to mitigate AIS VDL loading effects, application specific messages (ASM) should conform to the data structure specified in Recommendation ITU-R M.1371 and may use the two channels designated for ASM in Table 1 (ASM 1 and ASM 2) instead of AIS 1 and AIS 2. Selection of the transmission method should consider the comparison of efficiency and performance of the methods shown in Table 4. </w:t>
      </w:r>
    </w:p>
    <w:p w:rsidR="00AA7462" w:rsidRDefault="00AA7462">
      <w:pPr>
        <w:tabs>
          <w:tab w:val="clear" w:pos="794"/>
          <w:tab w:val="clear" w:pos="1191"/>
          <w:tab w:val="clear" w:pos="1588"/>
          <w:tab w:val="clear" w:pos="1985"/>
        </w:tabs>
        <w:overflowPunct/>
        <w:autoSpaceDE/>
        <w:autoSpaceDN/>
        <w:adjustRightInd/>
        <w:spacing w:before="0"/>
        <w:jc w:val="left"/>
        <w:textAlignment w:val="auto"/>
        <w:rPr>
          <w:rFonts w:ascii="Arial" w:eastAsia="MS Gothic" w:hAnsi="Arial"/>
          <w:b/>
          <w:kern w:val="2"/>
          <w:sz w:val="22"/>
          <w:szCs w:val="24"/>
          <w:lang w:val="en-US" w:eastAsia="ja-JP"/>
        </w:rPr>
      </w:pPr>
    </w:p>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jc w:val="center"/>
        <w:textAlignment w:val="auto"/>
        <w:rPr>
          <w:rFonts w:eastAsia="MS Gothic"/>
          <w:b/>
          <w:kern w:val="2"/>
          <w:szCs w:val="24"/>
          <w:lang w:val="en-US" w:eastAsia="ja-JP"/>
        </w:rPr>
      </w:pPr>
      <w:r>
        <w:rPr>
          <w:rFonts w:eastAsia="MS Gothic"/>
          <w:b/>
          <w:kern w:val="2"/>
          <w:szCs w:val="24"/>
          <w:lang w:val="en-US" w:eastAsia="ja-JP"/>
        </w:rPr>
        <w:t>TABLE</w:t>
      </w:r>
      <w:r w:rsidRPr="004C6A54">
        <w:rPr>
          <w:rFonts w:eastAsia="MS Gothic"/>
          <w:b/>
          <w:kern w:val="2"/>
          <w:szCs w:val="24"/>
          <w:lang w:val="en-US" w:eastAsia="ja-JP"/>
        </w:rPr>
        <w:t xml:space="preserve"> </w:t>
      </w:r>
      <w:r w:rsidRPr="00563F33">
        <w:rPr>
          <w:rFonts w:eastAsia="MS Gothic"/>
          <w:b/>
          <w:kern w:val="2"/>
          <w:szCs w:val="24"/>
          <w:lang w:val="en-US" w:eastAsia="ja-JP"/>
        </w:rPr>
        <w:t>4</w:t>
      </w:r>
    </w:p>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jc w:val="center"/>
        <w:textAlignment w:val="auto"/>
        <w:rPr>
          <w:rFonts w:eastAsia="MS Gothic"/>
          <w:b/>
          <w:kern w:val="2"/>
          <w:szCs w:val="24"/>
          <w:lang w:val="en-US" w:eastAsia="ja-JP"/>
        </w:rPr>
      </w:pPr>
      <w:r w:rsidRPr="004C6A54">
        <w:rPr>
          <w:rFonts w:eastAsia="MS Gothic"/>
          <w:b/>
          <w:kern w:val="2"/>
          <w:szCs w:val="24"/>
          <w:lang w:val="en-US" w:eastAsia="ja-JP"/>
        </w:rPr>
        <w:t xml:space="preserve">Comparison of </w:t>
      </w:r>
      <w:r>
        <w:rPr>
          <w:rFonts w:eastAsia="MS Gothic"/>
          <w:b/>
          <w:kern w:val="2"/>
          <w:szCs w:val="24"/>
          <w:lang w:val="en-US" w:eastAsia="ja-JP"/>
        </w:rPr>
        <w:t xml:space="preserve">AIS and Potential </w:t>
      </w:r>
      <w:r w:rsidRPr="004C6A54">
        <w:rPr>
          <w:rFonts w:eastAsia="MS Gothic"/>
          <w:b/>
          <w:kern w:val="2"/>
          <w:szCs w:val="24"/>
          <w:lang w:val="en-US" w:eastAsia="ja-JP"/>
        </w:rPr>
        <w:t>A</w:t>
      </w:r>
      <w:r>
        <w:rPr>
          <w:rFonts w:eastAsia="MS Gothic"/>
          <w:b/>
          <w:kern w:val="2"/>
          <w:szCs w:val="24"/>
          <w:lang w:val="en-US" w:eastAsia="ja-JP"/>
        </w:rPr>
        <w:t>SM</w:t>
      </w:r>
      <w:r w:rsidRPr="004C6A54">
        <w:rPr>
          <w:rFonts w:eastAsia="MS Gothic"/>
          <w:b/>
          <w:kern w:val="2"/>
          <w:szCs w:val="24"/>
          <w:lang w:val="en-US" w:eastAsia="ja-JP"/>
        </w:rPr>
        <w:t xml:space="preserve"> Data Transfer Methods</w:t>
      </w:r>
    </w:p>
    <w:tbl>
      <w:tblPr>
        <w:tblW w:w="91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A0" w:firstRow="1" w:lastRow="0" w:firstColumn="1" w:lastColumn="0" w:noHBand="0" w:noVBand="0"/>
      </w:tblPr>
      <w:tblGrid>
        <w:gridCol w:w="1908"/>
        <w:gridCol w:w="1821"/>
        <w:gridCol w:w="1857"/>
        <w:gridCol w:w="1785"/>
        <w:gridCol w:w="1821"/>
      </w:tblGrid>
      <w:tr w:rsidR="00AA7462" w:rsidRPr="00E87E32" w:rsidTr="00E71BBE">
        <w:trPr>
          <w:trHeight w:val="509"/>
          <w:jc w:val="center"/>
        </w:trPr>
        <w:tc>
          <w:tcPr>
            <w:tcW w:w="1908"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 </w:t>
            </w:r>
          </w:p>
        </w:tc>
        <w:tc>
          <w:tcPr>
            <w:tcW w:w="1821"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AIS1 and AIS2</w:t>
            </w:r>
          </w:p>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(25 kHz Channels)</w:t>
            </w:r>
          </w:p>
        </w:tc>
        <w:tc>
          <w:tcPr>
            <w:tcW w:w="5463" w:type="dxa"/>
            <w:gridSpan w:val="3"/>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Data Transfer Methods</w:t>
            </w:r>
          </w:p>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 xml:space="preserve">For 25 kHz Channels </w:t>
            </w:r>
          </w:p>
        </w:tc>
      </w:tr>
      <w:tr w:rsidR="00AA7462" w:rsidRPr="00E87E32" w:rsidTr="00E71BBE">
        <w:trPr>
          <w:trHeight w:val="247"/>
          <w:jc w:val="center"/>
        </w:trPr>
        <w:tc>
          <w:tcPr>
            <w:tcW w:w="1908"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ITU Standard and Digital Modulation</w:t>
            </w:r>
          </w:p>
        </w:tc>
        <w:tc>
          <w:tcPr>
            <w:tcW w:w="1821"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ITU-R M.1371</w:t>
            </w:r>
          </w:p>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GMSK</w:t>
            </w:r>
          </w:p>
        </w:tc>
        <w:tc>
          <w:tcPr>
            <w:tcW w:w="1857"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sv-SE" w:eastAsia="ja-JP"/>
              </w:rPr>
            </w:pPr>
            <w:r w:rsidRPr="004C6A54">
              <w:rPr>
                <w:rFonts w:ascii="Arial" w:eastAsia="MS Gothic" w:hAnsi="Arial"/>
                <w:kern w:val="2"/>
                <w:sz w:val="20"/>
                <w:lang w:val="sv-SE" w:eastAsia="ja-JP"/>
              </w:rPr>
              <w:t>ITU-R M.1842</w:t>
            </w:r>
          </w:p>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sv-SE" w:eastAsia="ja-JP"/>
              </w:rPr>
            </w:pPr>
            <w:r w:rsidRPr="004C6A54">
              <w:rPr>
                <w:rFonts w:ascii="Arial" w:eastAsia="MS Gothic" w:hAnsi="Arial"/>
                <w:kern w:val="2"/>
                <w:sz w:val="20"/>
                <w:lang w:val="sv-SE" w:eastAsia="ja-JP"/>
              </w:rPr>
              <w:t>Annex 1</w:t>
            </w:r>
          </w:p>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sv-SE" w:eastAsia="ja-JP"/>
              </w:rPr>
            </w:pPr>
            <w:r w:rsidRPr="004C6A54">
              <w:rPr>
                <w:rFonts w:ascii="Arial" w:eastAsia="MS Gothic" w:hAnsi="Arial"/>
                <w:kern w:val="2"/>
                <w:sz w:val="20"/>
                <w:lang w:val="en-US" w:eastAsia="ja-JP"/>
              </w:rPr>
              <w:t>π</w:t>
            </w:r>
            <w:r w:rsidRPr="004C6A54">
              <w:rPr>
                <w:rFonts w:ascii="Arial" w:eastAsia="MS Gothic" w:hAnsi="Arial"/>
                <w:kern w:val="2"/>
                <w:sz w:val="20"/>
                <w:lang w:val="sv-SE" w:eastAsia="ja-JP"/>
              </w:rPr>
              <w:t>/4 DQPSK</w:t>
            </w:r>
          </w:p>
        </w:tc>
        <w:tc>
          <w:tcPr>
            <w:tcW w:w="1785"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sv-SE" w:eastAsia="ja-JP"/>
              </w:rPr>
            </w:pPr>
            <w:r w:rsidRPr="004C6A54">
              <w:rPr>
                <w:rFonts w:ascii="Arial" w:eastAsia="MS Gothic" w:hAnsi="Arial"/>
                <w:kern w:val="2"/>
                <w:sz w:val="20"/>
                <w:lang w:val="sv-SE" w:eastAsia="ja-JP"/>
              </w:rPr>
              <w:t>ITU-R M.1842</w:t>
            </w:r>
          </w:p>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sv-SE" w:eastAsia="ja-JP"/>
              </w:rPr>
            </w:pPr>
            <w:r w:rsidRPr="004C6A54">
              <w:rPr>
                <w:rFonts w:ascii="Arial" w:eastAsia="MS Gothic" w:hAnsi="Arial"/>
                <w:kern w:val="2"/>
                <w:sz w:val="20"/>
                <w:lang w:val="sv-SE" w:eastAsia="ja-JP"/>
              </w:rPr>
              <w:t>Annex 1</w:t>
            </w:r>
          </w:p>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sv-SE" w:eastAsia="ja-JP"/>
              </w:rPr>
            </w:pPr>
            <w:r w:rsidRPr="004C6A54">
              <w:rPr>
                <w:rFonts w:ascii="Arial" w:eastAsia="MS Gothic" w:hAnsi="Arial"/>
                <w:kern w:val="2"/>
                <w:sz w:val="20"/>
                <w:lang w:val="en-US" w:eastAsia="ja-JP"/>
              </w:rPr>
              <w:t>π</w:t>
            </w:r>
            <w:r w:rsidRPr="004C6A54">
              <w:rPr>
                <w:rFonts w:ascii="Arial" w:eastAsia="MS Gothic" w:hAnsi="Arial"/>
                <w:kern w:val="2"/>
                <w:sz w:val="20"/>
                <w:lang w:val="sv-SE" w:eastAsia="ja-JP"/>
              </w:rPr>
              <w:t>/8 D8PSK</w:t>
            </w:r>
          </w:p>
        </w:tc>
        <w:tc>
          <w:tcPr>
            <w:tcW w:w="1821"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eastAsia="ja-JP"/>
              </w:rPr>
            </w:pPr>
            <w:r w:rsidRPr="004C6A54">
              <w:rPr>
                <w:rFonts w:ascii="Arial" w:eastAsia="MS Gothic" w:hAnsi="Arial"/>
                <w:kern w:val="2"/>
                <w:sz w:val="20"/>
                <w:lang w:eastAsia="ja-JP"/>
              </w:rPr>
              <w:t>En 300392-2 v3.2.1 Section 5.11*</w:t>
            </w:r>
          </w:p>
          <w:p w:rsidR="00AA7462" w:rsidRPr="004C6A54" w:rsidRDefault="00AA7462" w:rsidP="007E0B8B">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eastAsia="ja-JP"/>
              </w:rPr>
            </w:pPr>
            <w:r w:rsidRPr="004C6A54">
              <w:rPr>
                <w:rFonts w:ascii="Arial" w:eastAsia="MS Gothic" w:hAnsi="Arial"/>
                <w:kern w:val="2"/>
                <w:sz w:val="20"/>
                <w:lang w:eastAsia="ja-JP"/>
              </w:rPr>
              <w:t>8</w:t>
            </w:r>
            <w:r>
              <w:rPr>
                <w:rFonts w:ascii="Arial" w:eastAsia="MS Gothic" w:hAnsi="Arial"/>
                <w:kern w:val="2"/>
                <w:sz w:val="20"/>
                <w:lang w:eastAsia="ja-JP"/>
              </w:rPr>
              <w:t xml:space="preserve">X </w:t>
            </w:r>
            <w:r w:rsidRPr="004C6A54">
              <w:rPr>
                <w:rFonts w:ascii="Arial" w:eastAsia="MS Gothic" w:hAnsi="Arial"/>
                <w:kern w:val="2"/>
                <w:sz w:val="20"/>
                <w:lang w:eastAsia="ja-JP"/>
              </w:rPr>
              <w:t>16-QAM</w:t>
            </w:r>
          </w:p>
        </w:tc>
      </w:tr>
      <w:tr w:rsidR="00AA7462" w:rsidRPr="00E87E32" w:rsidTr="00E71BBE">
        <w:trPr>
          <w:trHeight w:val="247"/>
          <w:jc w:val="center"/>
        </w:trPr>
        <w:tc>
          <w:tcPr>
            <w:tcW w:w="1908"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Data Rate</w:t>
            </w:r>
          </w:p>
        </w:tc>
        <w:tc>
          <w:tcPr>
            <w:tcW w:w="1821"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9.6 kbps  (1X)</w:t>
            </w:r>
          </w:p>
        </w:tc>
        <w:tc>
          <w:tcPr>
            <w:tcW w:w="1857"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28.8 kbps  (3X)</w:t>
            </w:r>
          </w:p>
        </w:tc>
        <w:tc>
          <w:tcPr>
            <w:tcW w:w="1785"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43.2 kbps  (4X)</w:t>
            </w:r>
          </w:p>
        </w:tc>
        <w:tc>
          <w:tcPr>
            <w:tcW w:w="1821"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76.8 kbps  (8X)</w:t>
            </w:r>
          </w:p>
        </w:tc>
      </w:tr>
      <w:tr w:rsidR="00AA7462" w:rsidRPr="00E87E32" w:rsidTr="00E71BBE">
        <w:trPr>
          <w:trHeight w:val="247"/>
          <w:jc w:val="center"/>
        </w:trPr>
        <w:tc>
          <w:tcPr>
            <w:tcW w:w="1908"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Sensitivity</w:t>
            </w:r>
          </w:p>
        </w:tc>
        <w:tc>
          <w:tcPr>
            <w:tcW w:w="1821"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-107dBm</w:t>
            </w:r>
          </w:p>
        </w:tc>
        <w:tc>
          <w:tcPr>
            <w:tcW w:w="1857"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-107dBm</w:t>
            </w:r>
          </w:p>
        </w:tc>
        <w:tc>
          <w:tcPr>
            <w:tcW w:w="1785"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-107dBm</w:t>
            </w:r>
          </w:p>
        </w:tc>
        <w:tc>
          <w:tcPr>
            <w:tcW w:w="1821"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-107dBm</w:t>
            </w:r>
          </w:p>
        </w:tc>
      </w:tr>
      <w:tr w:rsidR="00AA7462" w:rsidRPr="00E87E32" w:rsidTr="00E71BBE">
        <w:trPr>
          <w:trHeight w:val="247"/>
          <w:jc w:val="center"/>
        </w:trPr>
        <w:tc>
          <w:tcPr>
            <w:tcW w:w="1908"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Co-channel rejection (CCR)</w:t>
            </w:r>
          </w:p>
        </w:tc>
        <w:tc>
          <w:tcPr>
            <w:tcW w:w="1821"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10dB</w:t>
            </w:r>
          </w:p>
        </w:tc>
        <w:tc>
          <w:tcPr>
            <w:tcW w:w="1857"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19dB</w:t>
            </w:r>
          </w:p>
        </w:tc>
        <w:tc>
          <w:tcPr>
            <w:tcW w:w="1785"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 xml:space="preserve">25dB </w:t>
            </w:r>
          </w:p>
        </w:tc>
        <w:tc>
          <w:tcPr>
            <w:tcW w:w="1821"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19dB</w:t>
            </w:r>
          </w:p>
        </w:tc>
      </w:tr>
      <w:tr w:rsidR="00AA7462" w:rsidRPr="00E87E32" w:rsidTr="00E71BBE">
        <w:trPr>
          <w:trHeight w:val="247"/>
          <w:jc w:val="center"/>
        </w:trPr>
        <w:tc>
          <w:tcPr>
            <w:tcW w:w="1908"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Adjacent channel rejection (ACR)</w:t>
            </w:r>
          </w:p>
        </w:tc>
        <w:tc>
          <w:tcPr>
            <w:tcW w:w="1821"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70dB</w:t>
            </w:r>
          </w:p>
        </w:tc>
        <w:tc>
          <w:tcPr>
            <w:tcW w:w="1857"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Pr>
                <w:rFonts w:ascii="Arial" w:eastAsia="MS Gothic" w:hAnsi="Arial"/>
                <w:kern w:val="2"/>
                <w:sz w:val="20"/>
                <w:lang w:val="en-US" w:eastAsia="ja-JP"/>
              </w:rPr>
              <w:t>TBD</w:t>
            </w:r>
          </w:p>
        </w:tc>
        <w:tc>
          <w:tcPr>
            <w:tcW w:w="1785"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Pr>
                <w:rFonts w:ascii="Arial" w:eastAsia="MS Gothic" w:hAnsi="Arial"/>
                <w:kern w:val="2"/>
                <w:sz w:val="20"/>
                <w:lang w:val="en-US" w:eastAsia="ja-JP"/>
              </w:rPr>
              <w:t>TBD</w:t>
            </w:r>
          </w:p>
        </w:tc>
        <w:tc>
          <w:tcPr>
            <w:tcW w:w="1821"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Pr>
                <w:rFonts w:ascii="Arial" w:eastAsia="MS Gothic" w:hAnsi="Arial"/>
                <w:kern w:val="2"/>
                <w:sz w:val="20"/>
                <w:lang w:val="en-US" w:eastAsia="ja-JP"/>
              </w:rPr>
              <w:t>TBD</w:t>
            </w:r>
          </w:p>
        </w:tc>
      </w:tr>
      <w:tr w:rsidR="00AA7462" w:rsidRPr="00E87E32" w:rsidTr="00E71BBE">
        <w:trPr>
          <w:trHeight w:val="247"/>
          <w:jc w:val="center"/>
        </w:trPr>
        <w:tc>
          <w:tcPr>
            <w:tcW w:w="1908"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AIS Message types</w:t>
            </w:r>
          </w:p>
        </w:tc>
        <w:tc>
          <w:tcPr>
            <w:tcW w:w="1821"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1, 2, 3, 5, 18, 19 …</w:t>
            </w:r>
          </w:p>
        </w:tc>
        <w:tc>
          <w:tcPr>
            <w:tcW w:w="1857"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6, 7, 8,12,13,14 …</w:t>
            </w:r>
          </w:p>
        </w:tc>
        <w:tc>
          <w:tcPr>
            <w:tcW w:w="1785"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6, 7, 8,12,13,14 …</w:t>
            </w:r>
          </w:p>
        </w:tc>
        <w:tc>
          <w:tcPr>
            <w:tcW w:w="1821"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6, 7, 8,12,13,14 …</w:t>
            </w:r>
          </w:p>
        </w:tc>
      </w:tr>
      <w:tr w:rsidR="00AA7462" w:rsidRPr="00E87E32" w:rsidTr="00E71BBE">
        <w:trPr>
          <w:trHeight w:val="1483"/>
          <w:jc w:val="center"/>
        </w:trPr>
        <w:tc>
          <w:tcPr>
            <w:tcW w:w="1908"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 xml:space="preserve">Rationale </w:t>
            </w:r>
          </w:p>
        </w:tc>
        <w:tc>
          <w:tcPr>
            <w:tcW w:w="1821"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Optimum choice for recurring position reports in a ship-ship navigation safety environment.</w:t>
            </w:r>
          </w:p>
        </w:tc>
        <w:tc>
          <w:tcPr>
            <w:tcW w:w="1857"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 xml:space="preserve">Provides high (3X) data transmission. Inferior CCR (+9dB) and range discrimination.  </w:t>
            </w:r>
          </w:p>
        </w:tc>
        <w:tc>
          <w:tcPr>
            <w:tcW w:w="1785"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 xml:space="preserve">Provides high (4X) data transmission.  Inferior CCR (+15dB) and range discrimination.  </w:t>
            </w:r>
          </w:p>
        </w:tc>
        <w:tc>
          <w:tcPr>
            <w:tcW w:w="1821"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 xml:space="preserve">Highest (8X) data rate for a 25kHz channel (compress multi-slot messages to a single slot).  </w:t>
            </w:r>
          </w:p>
        </w:tc>
      </w:tr>
    </w:tbl>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textAlignment w:val="auto"/>
        <w:rPr>
          <w:rFonts w:ascii="Arial" w:eastAsia="MS Gothic" w:hAnsi="Arial"/>
          <w:kern w:val="2"/>
          <w:sz w:val="22"/>
          <w:szCs w:val="24"/>
          <w:lang w:val="en-US" w:eastAsia="ja-JP"/>
        </w:rPr>
      </w:pPr>
    </w:p>
    <w:p w:rsidR="00AA7462" w:rsidRDefault="00AA7462">
      <w:pPr>
        <w:tabs>
          <w:tab w:val="clear" w:pos="794"/>
          <w:tab w:val="clear" w:pos="1191"/>
          <w:tab w:val="clear" w:pos="1588"/>
          <w:tab w:val="clear" w:pos="1985"/>
        </w:tabs>
        <w:overflowPunct/>
        <w:autoSpaceDE/>
        <w:autoSpaceDN/>
        <w:adjustRightInd/>
        <w:spacing w:before="0"/>
        <w:jc w:val="left"/>
        <w:textAlignment w:val="auto"/>
        <w:rPr>
          <w:b/>
          <w:lang w:val="en-US"/>
        </w:rPr>
      </w:pPr>
      <w:r>
        <w:rPr>
          <w:b/>
          <w:lang w:val="en-US"/>
        </w:rPr>
        <w:br w:type="page"/>
      </w:r>
    </w:p>
    <w:p w:rsidR="00AA7462" w:rsidRDefault="00AA7462" w:rsidP="00563F33">
      <w:pPr>
        <w:spacing w:before="240"/>
        <w:rPr>
          <w:b/>
          <w:lang w:val="en-US"/>
        </w:rPr>
      </w:pPr>
      <w:r>
        <w:rPr>
          <w:b/>
          <w:lang w:val="en-US"/>
        </w:rPr>
        <w:lastRenderedPageBreak/>
        <w:t>6</w:t>
      </w:r>
      <w:r>
        <w:rPr>
          <w:b/>
          <w:lang w:val="en-US"/>
        </w:rPr>
        <w:tab/>
        <w:t>VHF data exchange (VDE) Terrestrial</w:t>
      </w:r>
    </w:p>
    <w:p w:rsidR="00AA7462" w:rsidRPr="004C6A54" w:rsidRDefault="00AA7462" w:rsidP="00563F33">
      <w:pPr>
        <w:spacing w:before="240"/>
        <w:rPr>
          <w:rFonts w:eastAsia="MS Gothic"/>
          <w:kern w:val="2"/>
          <w:szCs w:val="24"/>
          <w:lang w:val="en-US" w:eastAsia="ja-JP"/>
        </w:rPr>
      </w:pPr>
      <w:r w:rsidRPr="004C6A54">
        <w:rPr>
          <w:szCs w:val="24"/>
          <w:lang w:val="en-US"/>
        </w:rPr>
        <w:t xml:space="preserve">VHF data exchange (VDE) transmissions should </w:t>
      </w:r>
      <w:r>
        <w:rPr>
          <w:szCs w:val="24"/>
          <w:lang w:val="en-US"/>
        </w:rPr>
        <w:t xml:space="preserve">use the channels designated for VDE in Table 1. </w:t>
      </w:r>
      <w:r>
        <w:rPr>
          <w:lang w:val="en-US"/>
        </w:rPr>
        <w:t>Selection of the transmission method should consider the comparison of efficiency and performance of the methods and channel bandwidths shown in Table 5. The channel access scheme and transmission timing should conform to Recommendation ITU-R M.1842, Annex 5.</w:t>
      </w:r>
    </w:p>
    <w:p w:rsidR="00AA7462" w:rsidRDefault="00AA7462">
      <w:pPr>
        <w:tabs>
          <w:tab w:val="clear" w:pos="794"/>
          <w:tab w:val="clear" w:pos="1191"/>
          <w:tab w:val="clear" w:pos="1588"/>
          <w:tab w:val="clear" w:pos="1985"/>
        </w:tabs>
        <w:overflowPunct/>
        <w:autoSpaceDE/>
        <w:autoSpaceDN/>
        <w:adjustRightInd/>
        <w:spacing w:before="0"/>
        <w:jc w:val="left"/>
        <w:textAlignment w:val="auto"/>
        <w:rPr>
          <w:rFonts w:eastAsia="MS Gothic"/>
          <w:b/>
          <w:kern w:val="2"/>
          <w:szCs w:val="24"/>
          <w:lang w:val="en-US" w:eastAsia="ja-JP"/>
        </w:rPr>
      </w:pPr>
    </w:p>
    <w:p w:rsidR="00AA7462" w:rsidRPr="004C6A54" w:rsidRDefault="00AA7462" w:rsidP="00F86D8C">
      <w:pPr>
        <w:widowControl w:val="0"/>
        <w:tabs>
          <w:tab w:val="clear" w:pos="794"/>
          <w:tab w:val="clear" w:pos="1191"/>
          <w:tab w:val="clear" w:pos="1588"/>
          <w:tab w:val="clear" w:pos="1985"/>
        </w:tabs>
        <w:overflowPunct/>
        <w:autoSpaceDE/>
        <w:autoSpaceDN/>
        <w:adjustRightInd/>
        <w:spacing w:before="0"/>
        <w:jc w:val="center"/>
        <w:textAlignment w:val="auto"/>
        <w:rPr>
          <w:rFonts w:eastAsia="MS Gothic"/>
          <w:b/>
          <w:kern w:val="2"/>
          <w:szCs w:val="24"/>
          <w:lang w:val="en-US" w:eastAsia="ja-JP"/>
        </w:rPr>
      </w:pPr>
      <w:r w:rsidRPr="004C6A54">
        <w:rPr>
          <w:rFonts w:eastAsia="MS Gothic"/>
          <w:b/>
          <w:kern w:val="2"/>
          <w:szCs w:val="24"/>
          <w:lang w:val="en-US" w:eastAsia="ja-JP"/>
        </w:rPr>
        <w:t>T</w:t>
      </w:r>
      <w:r>
        <w:rPr>
          <w:rFonts w:eastAsia="MS Gothic"/>
          <w:b/>
          <w:kern w:val="2"/>
          <w:szCs w:val="24"/>
          <w:lang w:val="en-US" w:eastAsia="ja-JP"/>
        </w:rPr>
        <w:t>ABLE</w:t>
      </w:r>
      <w:r w:rsidRPr="004C6A54">
        <w:rPr>
          <w:rFonts w:eastAsia="MS Gothic"/>
          <w:b/>
          <w:kern w:val="2"/>
          <w:szCs w:val="24"/>
          <w:lang w:val="en-US" w:eastAsia="ja-JP"/>
        </w:rPr>
        <w:t xml:space="preserve"> </w:t>
      </w:r>
      <w:r>
        <w:rPr>
          <w:rFonts w:eastAsia="MS Gothic"/>
          <w:b/>
          <w:kern w:val="2"/>
          <w:szCs w:val="24"/>
          <w:lang w:val="en-US" w:eastAsia="ja-JP"/>
        </w:rPr>
        <w:t>5</w:t>
      </w:r>
    </w:p>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jc w:val="center"/>
        <w:textAlignment w:val="auto"/>
        <w:rPr>
          <w:rFonts w:eastAsia="MS Gothic"/>
          <w:b/>
          <w:kern w:val="2"/>
          <w:szCs w:val="24"/>
          <w:lang w:val="en-US" w:eastAsia="ja-JP"/>
        </w:rPr>
      </w:pPr>
      <w:r w:rsidRPr="004C6A54">
        <w:rPr>
          <w:rFonts w:eastAsia="MS Gothic"/>
          <w:b/>
          <w:kern w:val="2"/>
          <w:szCs w:val="24"/>
          <w:lang w:val="en-US" w:eastAsia="ja-JP"/>
        </w:rPr>
        <w:t>Comparison o</w:t>
      </w:r>
      <w:r w:rsidRPr="00F86D8C">
        <w:rPr>
          <w:rFonts w:eastAsia="MS Gothic"/>
          <w:b/>
          <w:kern w:val="2"/>
          <w:szCs w:val="24"/>
          <w:lang w:val="en-US" w:eastAsia="ja-JP"/>
        </w:rPr>
        <w:t xml:space="preserve">f </w:t>
      </w:r>
      <w:r>
        <w:rPr>
          <w:rFonts w:eastAsia="MS Gothic"/>
          <w:b/>
          <w:kern w:val="2"/>
          <w:szCs w:val="24"/>
          <w:lang w:val="en-US" w:eastAsia="ja-JP"/>
        </w:rPr>
        <w:t xml:space="preserve">Potential </w:t>
      </w:r>
      <w:r w:rsidRPr="00F86D8C">
        <w:rPr>
          <w:rFonts w:eastAsia="MS Gothic"/>
          <w:b/>
          <w:kern w:val="2"/>
          <w:szCs w:val="24"/>
          <w:lang w:val="en-US" w:eastAsia="ja-JP"/>
        </w:rPr>
        <w:t>Data Transfer Methods for VDE</w:t>
      </w:r>
    </w:p>
    <w:tbl>
      <w:tblPr>
        <w:tblW w:w="93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08"/>
        <w:gridCol w:w="2790"/>
        <w:gridCol w:w="2340"/>
        <w:gridCol w:w="2340"/>
      </w:tblGrid>
      <w:tr w:rsidR="00AA7462" w:rsidRPr="00E87E32" w:rsidTr="00F86D8C">
        <w:trPr>
          <w:trHeight w:val="751"/>
          <w:jc w:val="center"/>
        </w:trPr>
        <w:tc>
          <w:tcPr>
            <w:tcW w:w="1908"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 </w:t>
            </w:r>
          </w:p>
        </w:tc>
        <w:tc>
          <w:tcPr>
            <w:tcW w:w="2790" w:type="dxa"/>
          </w:tcPr>
          <w:p w:rsidR="00AA7462" w:rsidRPr="004C6A54" w:rsidRDefault="00AA7462" w:rsidP="00F86D8C">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 xml:space="preserve">VDE Data Transfer Methods </w:t>
            </w:r>
            <w:r>
              <w:rPr>
                <w:rFonts w:ascii="Arial" w:eastAsia="MS Gothic" w:hAnsi="Arial"/>
                <w:bCs/>
                <w:kern w:val="2"/>
                <w:sz w:val="20"/>
                <w:lang w:val="en-US" w:eastAsia="ja-JP"/>
              </w:rPr>
              <w:t xml:space="preserve">For </w:t>
            </w:r>
            <w:r w:rsidRPr="004C6A54">
              <w:rPr>
                <w:rFonts w:ascii="Arial" w:eastAsia="MS Gothic" w:hAnsi="Arial"/>
                <w:bCs/>
                <w:kern w:val="2"/>
                <w:sz w:val="20"/>
                <w:lang w:val="en-US" w:eastAsia="ja-JP"/>
              </w:rPr>
              <w:t>25 kHz Channels</w:t>
            </w:r>
          </w:p>
        </w:tc>
        <w:tc>
          <w:tcPr>
            <w:tcW w:w="4680" w:type="dxa"/>
            <w:gridSpan w:val="2"/>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VDE Data Transfer Methods</w:t>
            </w:r>
          </w:p>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 xml:space="preserve">For 50 kHz and 100 kHz Channels </w:t>
            </w:r>
          </w:p>
        </w:tc>
      </w:tr>
      <w:tr w:rsidR="00AA7462" w:rsidRPr="00E87E32" w:rsidTr="00F86D8C">
        <w:trPr>
          <w:trHeight w:val="269"/>
          <w:jc w:val="center"/>
        </w:trPr>
        <w:tc>
          <w:tcPr>
            <w:tcW w:w="1908"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ITU Standard and Digital Modulation</w:t>
            </w:r>
          </w:p>
        </w:tc>
        <w:tc>
          <w:tcPr>
            <w:tcW w:w="2790"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ITU-R M.1842 Annex 1</w:t>
            </w:r>
          </w:p>
          <w:p w:rsidR="00AA7462" w:rsidRDefault="00AA7462"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π/4 DQPSK or π/8 D8PSK</w:t>
            </w:r>
          </w:p>
          <w:p w:rsidR="00AA7462" w:rsidRDefault="00AA7462" w:rsidP="00E71BBE">
            <w:pPr>
              <w:widowControl w:val="0"/>
              <w:tabs>
                <w:tab w:val="clear" w:pos="794"/>
                <w:tab w:val="clear" w:pos="1191"/>
                <w:tab w:val="clear" w:pos="1588"/>
                <w:tab w:val="clear" w:pos="1985"/>
              </w:tabs>
              <w:overflowPunct/>
              <w:autoSpaceDE/>
              <w:autoSpaceDN/>
              <w:adjustRightInd/>
              <w:spacing w:before="0" w:line="240" w:lineRule="exact"/>
              <w:jc w:val="center"/>
              <w:textAlignment w:val="auto"/>
              <w:rPr>
                <w:rFonts w:ascii="Arial" w:eastAsia="MS Gothic" w:hAnsi="Arial"/>
                <w:kern w:val="2"/>
                <w:sz w:val="20"/>
                <w:lang w:val="en-US" w:eastAsia="ja-JP"/>
              </w:rPr>
            </w:pPr>
            <w:r>
              <w:rPr>
                <w:rFonts w:ascii="Arial" w:eastAsia="MS Gothic" w:hAnsi="Arial"/>
                <w:kern w:val="2"/>
                <w:sz w:val="20"/>
                <w:lang w:val="en-US" w:eastAsia="ja-JP"/>
              </w:rPr>
              <w:t>or</w:t>
            </w:r>
          </w:p>
          <w:p w:rsidR="00AA7462" w:rsidRPr="004C6A54" w:rsidRDefault="00AA7462" w:rsidP="007E0B8B">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eastAsia="ja-JP"/>
              </w:rPr>
              <w:t>En 300392-2 v3.2.1 Section 5.11*</w:t>
            </w:r>
            <w:r>
              <w:rPr>
                <w:rFonts w:ascii="Arial" w:eastAsia="MS Gothic" w:hAnsi="Arial"/>
                <w:kern w:val="2"/>
                <w:sz w:val="20"/>
                <w:lang w:eastAsia="ja-JP"/>
              </w:rPr>
              <w:t xml:space="preserve"> (</w:t>
            </w:r>
            <w:r w:rsidRPr="004C6A54">
              <w:rPr>
                <w:rFonts w:ascii="Arial" w:eastAsia="MS Gothic" w:hAnsi="Arial"/>
                <w:kern w:val="2"/>
                <w:sz w:val="20"/>
                <w:lang w:eastAsia="ja-JP"/>
              </w:rPr>
              <w:t>8</w:t>
            </w:r>
            <w:r>
              <w:rPr>
                <w:rFonts w:ascii="Arial" w:eastAsia="MS Gothic" w:hAnsi="Arial"/>
                <w:kern w:val="2"/>
                <w:sz w:val="20"/>
                <w:lang w:eastAsia="ja-JP"/>
              </w:rPr>
              <w:t xml:space="preserve">X </w:t>
            </w:r>
            <w:r w:rsidRPr="004C6A54">
              <w:rPr>
                <w:rFonts w:ascii="Arial" w:eastAsia="MS Gothic" w:hAnsi="Arial"/>
                <w:kern w:val="2"/>
                <w:sz w:val="20"/>
                <w:lang w:eastAsia="ja-JP"/>
              </w:rPr>
              <w:t>16-QAM</w:t>
            </w:r>
            <w:r>
              <w:rPr>
                <w:rFonts w:ascii="Arial" w:eastAsia="MS Gothic" w:hAnsi="Arial"/>
                <w:kern w:val="2"/>
                <w:sz w:val="20"/>
                <w:lang w:eastAsia="ja-JP"/>
              </w:rPr>
              <w:t>)</w:t>
            </w:r>
          </w:p>
        </w:tc>
        <w:tc>
          <w:tcPr>
            <w:tcW w:w="2340"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ITU-R M.1842 Annex 3</w:t>
            </w:r>
          </w:p>
          <w:p w:rsidR="00AA7462" w:rsidRPr="004C6A54" w:rsidRDefault="00AA7462" w:rsidP="007E0B8B">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16</w:t>
            </w:r>
            <w:r>
              <w:rPr>
                <w:rFonts w:ascii="Arial" w:eastAsia="MS Gothic" w:hAnsi="Arial"/>
                <w:kern w:val="2"/>
                <w:sz w:val="20"/>
                <w:lang w:val="en-US" w:eastAsia="ja-JP"/>
              </w:rPr>
              <w:t>X</w:t>
            </w:r>
            <w:r w:rsidRPr="004C6A54">
              <w:rPr>
                <w:rFonts w:ascii="Arial" w:eastAsia="MS Gothic" w:hAnsi="Arial"/>
                <w:kern w:val="2"/>
                <w:sz w:val="20"/>
                <w:lang w:val="en-US" w:eastAsia="ja-JP"/>
              </w:rPr>
              <w:t xml:space="preserve"> 16-QAM</w:t>
            </w:r>
          </w:p>
        </w:tc>
        <w:tc>
          <w:tcPr>
            <w:tcW w:w="2340"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ITU-R M.1842 Annex 4</w:t>
            </w:r>
          </w:p>
          <w:p w:rsidR="00AA7462" w:rsidRPr="004C6A54" w:rsidRDefault="00AA7462" w:rsidP="007E0B8B">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32</w:t>
            </w:r>
            <w:r>
              <w:rPr>
                <w:rFonts w:ascii="Arial" w:eastAsia="MS Gothic" w:hAnsi="Arial"/>
                <w:kern w:val="2"/>
                <w:sz w:val="20"/>
                <w:lang w:val="en-US" w:eastAsia="ja-JP"/>
              </w:rPr>
              <w:t>X</w:t>
            </w:r>
            <w:r w:rsidRPr="004C6A54">
              <w:rPr>
                <w:rFonts w:ascii="Arial" w:eastAsia="MS Gothic" w:hAnsi="Arial"/>
                <w:kern w:val="2"/>
                <w:sz w:val="20"/>
                <w:lang w:val="en-US" w:eastAsia="ja-JP"/>
              </w:rPr>
              <w:t xml:space="preserve"> 16-QAM</w:t>
            </w:r>
          </w:p>
        </w:tc>
      </w:tr>
      <w:tr w:rsidR="00AA7462" w:rsidRPr="00E87E32" w:rsidTr="00F86D8C">
        <w:trPr>
          <w:trHeight w:val="269"/>
          <w:jc w:val="center"/>
        </w:trPr>
        <w:tc>
          <w:tcPr>
            <w:tcW w:w="1908"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Data Rate</w:t>
            </w:r>
          </w:p>
        </w:tc>
        <w:tc>
          <w:tcPr>
            <w:tcW w:w="2790" w:type="dxa"/>
          </w:tcPr>
          <w:p w:rsidR="00AA7462" w:rsidRDefault="00AA7462" w:rsidP="00F86D8C">
            <w:pPr>
              <w:widowControl w:val="0"/>
              <w:tabs>
                <w:tab w:val="clear" w:pos="794"/>
                <w:tab w:val="clear" w:pos="1191"/>
                <w:tab w:val="clear" w:pos="1588"/>
                <w:tab w:val="clear" w:pos="1985"/>
              </w:tabs>
              <w:overflowPunct/>
              <w:autoSpaceDE/>
              <w:autoSpaceDN/>
              <w:adjustRightInd/>
              <w:spacing w:before="0" w:line="240" w:lineRule="exact"/>
              <w:jc w:val="center"/>
              <w:textAlignment w:val="auto"/>
              <w:rPr>
                <w:rFonts w:ascii="Arial" w:eastAsia="MS Gothic" w:hAnsi="Arial"/>
                <w:kern w:val="2"/>
                <w:sz w:val="20"/>
                <w:lang w:val="en-US" w:eastAsia="ja-JP"/>
              </w:rPr>
            </w:pPr>
            <w:r w:rsidRPr="004C6A54">
              <w:rPr>
                <w:rFonts w:ascii="Arial" w:eastAsia="MS Gothic" w:hAnsi="Arial"/>
                <w:kern w:val="2"/>
                <w:sz w:val="20"/>
                <w:lang w:val="en-US" w:eastAsia="ja-JP"/>
              </w:rPr>
              <w:t>28.8</w:t>
            </w:r>
            <w:r>
              <w:rPr>
                <w:rFonts w:ascii="Arial" w:eastAsia="MS Gothic" w:hAnsi="Arial"/>
                <w:kern w:val="2"/>
                <w:sz w:val="20"/>
                <w:lang w:val="en-US" w:eastAsia="ja-JP"/>
              </w:rPr>
              <w:t xml:space="preserve"> or </w:t>
            </w:r>
            <w:r w:rsidRPr="004C6A54">
              <w:rPr>
                <w:rFonts w:ascii="Arial" w:eastAsia="MS Gothic" w:hAnsi="Arial"/>
                <w:kern w:val="2"/>
                <w:sz w:val="20"/>
                <w:lang w:val="en-US" w:eastAsia="ja-JP"/>
              </w:rPr>
              <w:t>43.2 kbps (</w:t>
            </w:r>
            <w:r>
              <w:rPr>
                <w:rFonts w:ascii="Arial" w:eastAsia="MS Gothic" w:hAnsi="Arial"/>
                <w:kern w:val="2"/>
                <w:sz w:val="20"/>
                <w:lang w:val="en-US" w:eastAsia="ja-JP"/>
              </w:rPr>
              <w:t xml:space="preserve">3X or </w:t>
            </w:r>
            <w:r w:rsidRPr="004C6A54">
              <w:rPr>
                <w:rFonts w:ascii="Arial" w:eastAsia="MS Gothic" w:hAnsi="Arial"/>
                <w:kern w:val="2"/>
                <w:sz w:val="20"/>
                <w:lang w:val="en-US" w:eastAsia="ja-JP"/>
              </w:rPr>
              <w:t>4X)</w:t>
            </w:r>
          </w:p>
          <w:p w:rsidR="00AA7462" w:rsidRDefault="00AA7462" w:rsidP="00E71BBE">
            <w:pPr>
              <w:widowControl w:val="0"/>
              <w:tabs>
                <w:tab w:val="clear" w:pos="794"/>
                <w:tab w:val="clear" w:pos="1191"/>
                <w:tab w:val="clear" w:pos="1588"/>
                <w:tab w:val="clear" w:pos="1985"/>
              </w:tabs>
              <w:overflowPunct/>
              <w:autoSpaceDE/>
              <w:autoSpaceDN/>
              <w:adjustRightInd/>
              <w:spacing w:before="0" w:line="240" w:lineRule="exact"/>
              <w:jc w:val="center"/>
              <w:textAlignment w:val="auto"/>
              <w:rPr>
                <w:rFonts w:ascii="Arial" w:eastAsia="MS Gothic" w:hAnsi="Arial"/>
                <w:kern w:val="2"/>
                <w:sz w:val="20"/>
                <w:lang w:val="en-US" w:eastAsia="ja-JP"/>
              </w:rPr>
            </w:pPr>
            <w:r>
              <w:rPr>
                <w:rFonts w:ascii="Arial" w:eastAsia="MS Gothic" w:hAnsi="Arial"/>
                <w:kern w:val="2"/>
                <w:sz w:val="20"/>
                <w:lang w:val="en-US" w:eastAsia="ja-JP"/>
              </w:rPr>
              <w:t>or</w:t>
            </w:r>
          </w:p>
          <w:p w:rsidR="00AA7462" w:rsidRPr="004C6A54" w:rsidRDefault="00AA7462" w:rsidP="00F86D8C">
            <w:pPr>
              <w:widowControl w:val="0"/>
              <w:tabs>
                <w:tab w:val="clear" w:pos="794"/>
                <w:tab w:val="clear" w:pos="1191"/>
                <w:tab w:val="clear" w:pos="1588"/>
                <w:tab w:val="clear" w:pos="1985"/>
              </w:tabs>
              <w:overflowPunct/>
              <w:autoSpaceDE/>
              <w:autoSpaceDN/>
              <w:adjustRightInd/>
              <w:spacing w:before="0" w:line="240" w:lineRule="exact"/>
              <w:jc w:val="center"/>
              <w:textAlignment w:val="auto"/>
              <w:rPr>
                <w:rFonts w:ascii="Arial" w:eastAsia="MS Gothic" w:hAnsi="Arial"/>
                <w:kern w:val="2"/>
                <w:sz w:val="20"/>
                <w:lang w:val="en-US" w:eastAsia="ja-JP"/>
              </w:rPr>
            </w:pPr>
            <w:r w:rsidRPr="004C6A54">
              <w:rPr>
                <w:rFonts w:ascii="Arial" w:eastAsia="MS Gothic" w:hAnsi="Arial"/>
                <w:kern w:val="2"/>
                <w:sz w:val="20"/>
                <w:lang w:val="en-US" w:eastAsia="ja-JP"/>
              </w:rPr>
              <w:t>76.8 kbps  (8X)</w:t>
            </w:r>
          </w:p>
        </w:tc>
        <w:tc>
          <w:tcPr>
            <w:tcW w:w="2340"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153.6 kbps (16X)</w:t>
            </w:r>
          </w:p>
        </w:tc>
        <w:tc>
          <w:tcPr>
            <w:tcW w:w="2340"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307.2 kbps (32X)</w:t>
            </w:r>
          </w:p>
        </w:tc>
      </w:tr>
      <w:tr w:rsidR="00AA7462" w:rsidRPr="00E87E32" w:rsidTr="00F86D8C">
        <w:trPr>
          <w:trHeight w:val="269"/>
          <w:jc w:val="center"/>
        </w:trPr>
        <w:tc>
          <w:tcPr>
            <w:tcW w:w="1908"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Sensitivity</w:t>
            </w:r>
          </w:p>
        </w:tc>
        <w:tc>
          <w:tcPr>
            <w:tcW w:w="2790" w:type="dxa"/>
          </w:tcPr>
          <w:p w:rsidR="00AA7462" w:rsidRPr="004C6A54" w:rsidRDefault="00AA7462" w:rsidP="00563F33">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 xml:space="preserve">-107dBm </w:t>
            </w:r>
            <w:r>
              <w:rPr>
                <w:rFonts w:ascii="Arial" w:eastAsia="MS Gothic" w:hAnsi="Arial"/>
                <w:kern w:val="2"/>
                <w:sz w:val="20"/>
                <w:lang w:val="en-US" w:eastAsia="ja-JP"/>
              </w:rPr>
              <w:t>(ship &amp; shore)</w:t>
            </w:r>
          </w:p>
        </w:tc>
        <w:tc>
          <w:tcPr>
            <w:tcW w:w="2340" w:type="dxa"/>
          </w:tcPr>
          <w:p w:rsidR="00AA7462" w:rsidRPr="004C6A54" w:rsidRDefault="00AA7462" w:rsidP="00563F33">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-103dBm (ship stations)</w:t>
            </w:r>
          </w:p>
        </w:tc>
        <w:tc>
          <w:tcPr>
            <w:tcW w:w="2340"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-98dBm (ship stations)</w:t>
            </w:r>
          </w:p>
        </w:tc>
      </w:tr>
      <w:tr w:rsidR="00AA7462" w:rsidRPr="00E87E32" w:rsidTr="00F86D8C">
        <w:trPr>
          <w:trHeight w:val="269"/>
          <w:jc w:val="center"/>
        </w:trPr>
        <w:tc>
          <w:tcPr>
            <w:tcW w:w="1908"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Co-channel rejection (CCR)</w:t>
            </w:r>
          </w:p>
        </w:tc>
        <w:tc>
          <w:tcPr>
            <w:tcW w:w="2790"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19dB or 25dB</w:t>
            </w:r>
          </w:p>
        </w:tc>
        <w:tc>
          <w:tcPr>
            <w:tcW w:w="2340"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19dB</w:t>
            </w:r>
          </w:p>
        </w:tc>
        <w:tc>
          <w:tcPr>
            <w:tcW w:w="2340"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 xml:space="preserve">19dB </w:t>
            </w:r>
          </w:p>
        </w:tc>
      </w:tr>
      <w:tr w:rsidR="00AA7462" w:rsidRPr="00E87E32" w:rsidTr="00F86D8C">
        <w:trPr>
          <w:trHeight w:val="269"/>
          <w:jc w:val="center"/>
        </w:trPr>
        <w:tc>
          <w:tcPr>
            <w:tcW w:w="1908"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Message types</w:t>
            </w:r>
          </w:p>
        </w:tc>
        <w:tc>
          <w:tcPr>
            <w:tcW w:w="2790" w:type="dxa"/>
          </w:tcPr>
          <w:p w:rsidR="00AA7462" w:rsidRPr="004C6A54" w:rsidRDefault="00AA7462" w:rsidP="00A71F31">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AIS 6, 7, 8,12,13,14 and ASM</w:t>
            </w:r>
          </w:p>
        </w:tc>
        <w:tc>
          <w:tcPr>
            <w:tcW w:w="2340"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VDE messages TBD</w:t>
            </w:r>
          </w:p>
        </w:tc>
        <w:tc>
          <w:tcPr>
            <w:tcW w:w="2340"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kern w:val="2"/>
                <w:sz w:val="20"/>
                <w:lang w:val="en-US" w:eastAsia="ja-JP"/>
              </w:rPr>
              <w:t>VDE messages TBD</w:t>
            </w:r>
          </w:p>
        </w:tc>
      </w:tr>
      <w:tr w:rsidR="00AA7462" w:rsidRPr="00E87E32" w:rsidTr="00F86D8C">
        <w:trPr>
          <w:trHeight w:val="1441"/>
          <w:jc w:val="center"/>
        </w:trPr>
        <w:tc>
          <w:tcPr>
            <w:tcW w:w="1908"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textAlignment w:val="auto"/>
              <w:rPr>
                <w:rFonts w:ascii="Arial" w:eastAsia="MS Gothic" w:hAnsi="Arial"/>
                <w:kern w:val="2"/>
                <w:sz w:val="20"/>
                <w:lang w:val="en-US" w:eastAsia="ja-JP"/>
              </w:rPr>
            </w:pPr>
            <w:r w:rsidRPr="004C6A54">
              <w:rPr>
                <w:rFonts w:ascii="Arial" w:eastAsia="MS Gothic" w:hAnsi="Arial"/>
                <w:bCs/>
                <w:kern w:val="2"/>
                <w:sz w:val="20"/>
                <w:lang w:val="en-US" w:eastAsia="ja-JP"/>
              </w:rPr>
              <w:t xml:space="preserve">Rationale </w:t>
            </w:r>
          </w:p>
        </w:tc>
        <w:tc>
          <w:tcPr>
            <w:tcW w:w="2790"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 xml:space="preserve">Provides higher (3X or 4X) data transmission than AIS. Inferior CCR (+9dB or +15dB) and range discrimination compared to AIS.  </w:t>
            </w:r>
          </w:p>
        </w:tc>
        <w:tc>
          <w:tcPr>
            <w:tcW w:w="2340"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 xml:space="preserve">Provides much higher (16X) data transmission than AIS. Inferior CCR (+9dB) and range discrimination compared to AIS.  </w:t>
            </w:r>
          </w:p>
        </w:tc>
        <w:tc>
          <w:tcPr>
            <w:tcW w:w="2340" w:type="dxa"/>
          </w:tcPr>
          <w:p w:rsidR="00AA7462" w:rsidRPr="004C6A54" w:rsidRDefault="00AA7462" w:rsidP="004C6A54">
            <w:pPr>
              <w:widowControl w:val="0"/>
              <w:tabs>
                <w:tab w:val="clear" w:pos="794"/>
                <w:tab w:val="clear" w:pos="1191"/>
                <w:tab w:val="clear" w:pos="1588"/>
                <w:tab w:val="clear" w:pos="1985"/>
              </w:tabs>
              <w:overflowPunct/>
              <w:autoSpaceDE/>
              <w:autoSpaceDN/>
              <w:adjustRightInd/>
              <w:spacing w:before="0" w:line="240" w:lineRule="exact"/>
              <w:jc w:val="left"/>
              <w:textAlignment w:val="auto"/>
              <w:rPr>
                <w:rFonts w:ascii="Arial" w:eastAsia="MS Gothic" w:hAnsi="Arial"/>
                <w:kern w:val="2"/>
                <w:sz w:val="20"/>
                <w:lang w:val="en-US" w:eastAsia="ja-JP"/>
              </w:rPr>
            </w:pPr>
            <w:r w:rsidRPr="004C6A54">
              <w:rPr>
                <w:rFonts w:ascii="Arial" w:eastAsia="MS Gothic" w:hAnsi="Arial"/>
                <w:kern w:val="2"/>
                <w:sz w:val="20"/>
                <w:lang w:val="en-US" w:eastAsia="ja-JP"/>
              </w:rPr>
              <w:t xml:space="preserve">Provides much higher (32X) data transmission than AIS.  Inferior CCR (+9dB) and range discrimination compared to AIS.  </w:t>
            </w:r>
          </w:p>
        </w:tc>
      </w:tr>
    </w:tbl>
    <w:p w:rsidR="00AA7462" w:rsidRPr="004C6A54" w:rsidRDefault="00AA7462" w:rsidP="00A40621">
      <w:pPr>
        <w:widowControl w:val="0"/>
        <w:tabs>
          <w:tab w:val="clear" w:pos="794"/>
          <w:tab w:val="clear" w:pos="1191"/>
          <w:tab w:val="clear" w:pos="1588"/>
          <w:tab w:val="clear" w:pos="1985"/>
        </w:tabs>
        <w:overflowPunct/>
        <w:autoSpaceDE/>
        <w:autoSpaceDN/>
        <w:adjustRightInd/>
        <w:spacing w:before="480"/>
        <w:textAlignment w:val="auto"/>
        <w:rPr>
          <w:rFonts w:eastAsia="MS Gothic"/>
          <w:b/>
          <w:kern w:val="2"/>
          <w:szCs w:val="24"/>
          <w:lang w:val="en-GB" w:eastAsia="ja-JP"/>
        </w:rPr>
      </w:pPr>
      <w:r>
        <w:rPr>
          <w:rFonts w:eastAsia="MS Gothic"/>
          <w:b/>
          <w:kern w:val="2"/>
          <w:szCs w:val="24"/>
          <w:lang w:val="en-GB" w:eastAsia="ja-JP"/>
        </w:rPr>
        <w:t>7</w:t>
      </w:r>
      <w:r>
        <w:rPr>
          <w:rFonts w:eastAsia="MS Gothic"/>
          <w:b/>
          <w:kern w:val="2"/>
          <w:szCs w:val="24"/>
          <w:lang w:val="en-GB" w:eastAsia="ja-JP"/>
        </w:rPr>
        <w:tab/>
        <w:t xml:space="preserve">VHF data exchange by satellite </w:t>
      </w:r>
      <w:r w:rsidRPr="00E72C9B">
        <w:rPr>
          <w:rFonts w:eastAsia="MS Gothic"/>
          <w:b/>
          <w:kern w:val="2"/>
          <w:szCs w:val="24"/>
          <w:lang w:val="en-GB" w:eastAsia="ja-JP"/>
        </w:rPr>
        <w:t>(SAT)</w:t>
      </w:r>
    </w:p>
    <w:p w:rsidR="00AA7462" w:rsidRDefault="00AA7462" w:rsidP="00E72C9B">
      <w:pPr>
        <w:spacing w:before="240"/>
        <w:rPr>
          <w:lang w:val="en-US"/>
        </w:rPr>
      </w:pPr>
      <w:r w:rsidRPr="004C6A54">
        <w:rPr>
          <w:szCs w:val="24"/>
          <w:lang w:val="en-US"/>
        </w:rPr>
        <w:t xml:space="preserve">VHF data exchange transmissions </w:t>
      </w:r>
      <w:r>
        <w:rPr>
          <w:szCs w:val="24"/>
          <w:lang w:val="en-US"/>
        </w:rPr>
        <w:t xml:space="preserve">by satellite (SAT) </w:t>
      </w:r>
      <w:r w:rsidRPr="004C6A54">
        <w:rPr>
          <w:szCs w:val="24"/>
          <w:lang w:val="en-US"/>
        </w:rPr>
        <w:t xml:space="preserve">should </w:t>
      </w:r>
      <w:r>
        <w:rPr>
          <w:szCs w:val="24"/>
          <w:lang w:val="en-US"/>
        </w:rPr>
        <w:t xml:space="preserve">use the channels designated for SAT in Table 1. </w:t>
      </w:r>
      <w:r>
        <w:rPr>
          <w:lang w:val="en-US"/>
        </w:rPr>
        <w:t>Selection of the transmission method should consider the comparison of efficiency and performance of the current methods and channel bandwidths. Due to power limitations of satellites and signal power levels required for coordination with terrestrial services, other methods may also be considered as outlined in Annex 2.</w:t>
      </w:r>
    </w:p>
    <w:p w:rsidR="00AA7462" w:rsidRDefault="00AA7462" w:rsidP="00E72C9B">
      <w:pPr>
        <w:spacing w:before="240"/>
        <w:rPr>
          <w:rFonts w:ascii="Arial" w:eastAsia="MS Gothic" w:hAnsi="Arial"/>
          <w:kern w:val="2"/>
          <w:sz w:val="22"/>
          <w:szCs w:val="24"/>
          <w:lang w:val="en-US" w:eastAsia="ja-JP"/>
        </w:rPr>
      </w:pPr>
    </w:p>
    <w:p w:rsidR="00AA7462" w:rsidRPr="005F4502" w:rsidRDefault="00AA7462">
      <w:pPr>
        <w:tabs>
          <w:tab w:val="clear" w:pos="794"/>
          <w:tab w:val="clear" w:pos="1191"/>
          <w:tab w:val="clear" w:pos="1588"/>
          <w:tab w:val="clear" w:pos="1985"/>
        </w:tabs>
        <w:overflowPunct/>
        <w:autoSpaceDE/>
        <w:autoSpaceDN/>
        <w:adjustRightInd/>
        <w:spacing w:before="0"/>
        <w:jc w:val="left"/>
        <w:textAlignment w:val="auto"/>
        <w:rPr>
          <w:b/>
          <w:sz w:val="28"/>
          <w:lang w:val="en-US"/>
        </w:rPr>
      </w:pPr>
    </w:p>
    <w:p w:rsidR="00AA7462" w:rsidRPr="005F4502" w:rsidRDefault="00AA7462" w:rsidP="00704619">
      <w:pPr>
        <w:pStyle w:val="AnnexNoTitle"/>
        <w:rPr>
          <w:lang w:val="en-US"/>
        </w:rPr>
      </w:pPr>
      <w:proofErr w:type="gramStart"/>
      <w:r w:rsidRPr="005F4502">
        <w:rPr>
          <w:lang w:val="en-US"/>
        </w:rPr>
        <w:t>Annex  2</w:t>
      </w:r>
      <w:proofErr w:type="gramEnd"/>
      <w:r w:rsidRPr="005F4502">
        <w:rPr>
          <w:lang w:val="en-US"/>
        </w:rPr>
        <w:br/>
      </w:r>
      <w:r w:rsidRPr="005F4502">
        <w:rPr>
          <w:lang w:val="en-US"/>
        </w:rPr>
        <w:br/>
        <w:t>Operational and technical characteristics of the VHF data exchange system satellite component</w:t>
      </w:r>
    </w:p>
    <w:p w:rsidR="00AA7462" w:rsidRDefault="00AA7462" w:rsidP="00704619">
      <w:pPr>
        <w:pStyle w:val="Heading1"/>
        <w:numPr>
          <w:ilvl w:val="0"/>
          <w:numId w:val="4"/>
        </w:numPr>
        <w:textAlignment w:val="auto"/>
      </w:pPr>
      <w:r>
        <w:t>General</w:t>
      </w:r>
    </w:p>
    <w:p w:rsidR="00AA7462" w:rsidRDefault="00AA7462" w:rsidP="00704619"/>
    <w:p w:rsidR="00AA7462" w:rsidRDefault="00AA7462" w:rsidP="00704619">
      <w:pPr>
        <w:rPr>
          <w:b/>
          <w:lang w:val="en-GB"/>
        </w:rPr>
      </w:pPr>
      <w:r>
        <w:rPr>
          <w:b/>
          <w:lang w:val="en-GB"/>
        </w:rPr>
        <w:lastRenderedPageBreak/>
        <w:t>VHF data exchange system satellite component</w:t>
      </w:r>
    </w:p>
    <w:p w:rsidR="00AA7462" w:rsidRDefault="00AA7462" w:rsidP="00704619">
      <w:pPr>
        <w:rPr>
          <w:lang w:val="en-GB"/>
        </w:rPr>
      </w:pPr>
      <w:r>
        <w:rPr>
          <w:lang w:val="en-GB"/>
        </w:rPr>
        <w:t xml:space="preserve">The VHF data exchange satellite component is an effective means to extend the VDES to areas outside of coastal VHF coverage. Hereafter, the satellite component is referred to as the VDE-SAT.  </w:t>
      </w:r>
    </w:p>
    <w:p w:rsidR="00AA7462" w:rsidRDefault="00AA7462" w:rsidP="00704619">
      <w:pPr>
        <w:rPr>
          <w:lang w:val="en-GB"/>
        </w:rPr>
      </w:pPr>
      <w:r>
        <w:rPr>
          <w:lang w:val="en-GB"/>
        </w:rPr>
        <w:t xml:space="preserve">Satellite communications is able to deliver information in a </w:t>
      </w:r>
      <w:r>
        <w:rPr>
          <w:b/>
          <w:lang w:val="en-GB"/>
        </w:rPr>
        <w:t>broadcast</w:t>
      </w:r>
      <w:r>
        <w:rPr>
          <w:lang w:val="en-GB"/>
        </w:rPr>
        <w:t xml:space="preserve">, </w:t>
      </w:r>
      <w:r>
        <w:rPr>
          <w:b/>
          <w:lang w:val="en-GB"/>
        </w:rPr>
        <w:t>multicast</w:t>
      </w:r>
      <w:r>
        <w:rPr>
          <w:lang w:val="en-GB"/>
        </w:rPr>
        <w:t xml:space="preserve"> or </w:t>
      </w:r>
      <w:r>
        <w:rPr>
          <w:b/>
          <w:lang w:val="en-GB"/>
        </w:rPr>
        <w:t>unicast</w:t>
      </w:r>
      <w:r>
        <w:rPr>
          <w:lang w:val="en-GB"/>
        </w:rPr>
        <w:t xml:space="preserve"> mode to a large number of ships, i.e. efficiently addressing many ships using only minimal radio spectrum resources. </w:t>
      </w:r>
    </w:p>
    <w:p w:rsidR="00AA7462" w:rsidRDefault="00AA7462" w:rsidP="00704619">
      <w:pPr>
        <w:rPr>
          <w:lang w:val="en-GB"/>
        </w:rPr>
      </w:pPr>
      <w:r>
        <w:rPr>
          <w:lang w:val="en-GB"/>
        </w:rPr>
        <w:t xml:space="preserve">The VDE-SAT will provide a communication channel that is </w:t>
      </w:r>
      <w:r>
        <w:rPr>
          <w:b/>
          <w:lang w:val="en-GB"/>
        </w:rPr>
        <w:t>complementary</w:t>
      </w:r>
      <w:r>
        <w:rPr>
          <w:lang w:val="en-GB"/>
        </w:rPr>
        <w:t xml:space="preserve"> to the terrestrial components of the VDES system (i.e. coordinated with terrestrial VHF data exchange (VDE), application specific messages (ASM) and AIS functionalities and their supporting systems). </w:t>
      </w:r>
    </w:p>
    <w:p w:rsidR="00AA7462" w:rsidRDefault="00AA7462" w:rsidP="00704619">
      <w:pPr>
        <w:rPr>
          <w:b/>
          <w:lang w:val="en-GB"/>
        </w:rPr>
      </w:pPr>
      <w:r>
        <w:rPr>
          <w:b/>
          <w:lang w:val="en-GB"/>
        </w:rPr>
        <w:t xml:space="preserve">Applications </w:t>
      </w:r>
    </w:p>
    <w:p w:rsidR="00AA7462" w:rsidRDefault="00AA7462" w:rsidP="00704619">
      <w:pPr>
        <w:rPr>
          <w:lang w:val="en-GB"/>
        </w:rPr>
      </w:pPr>
      <w:r>
        <w:rPr>
          <w:lang w:val="en-GB"/>
        </w:rPr>
        <w:t>Continuous exchanges with the maritime community will provide further insight into the priorities</w:t>
      </w:r>
      <w:proofErr w:type="gramStart"/>
      <w:r>
        <w:rPr>
          <w:lang w:val="en-GB"/>
        </w:rPr>
        <w:t>,  Quality</w:t>
      </w:r>
      <w:proofErr w:type="gramEnd"/>
      <w:r>
        <w:rPr>
          <w:lang w:val="en-GB"/>
        </w:rPr>
        <w:t xml:space="preserve"> of Service (</w:t>
      </w:r>
      <w:proofErr w:type="spellStart"/>
      <w:r>
        <w:rPr>
          <w:lang w:val="en-GB"/>
        </w:rPr>
        <w:t>QoS</w:t>
      </w:r>
      <w:proofErr w:type="spellEnd"/>
      <w:r>
        <w:rPr>
          <w:lang w:val="en-GB"/>
        </w:rPr>
        <w:t>), security, integrity and other requirements of future VDES services.</w:t>
      </w:r>
    </w:p>
    <w:p w:rsidR="00AA7462" w:rsidRDefault="00AA7462" w:rsidP="00704619">
      <w:pPr>
        <w:rPr>
          <w:lang w:val="en-GB"/>
        </w:rPr>
      </w:pPr>
      <w:r>
        <w:rPr>
          <w:lang w:val="en-GB"/>
        </w:rPr>
        <w:t xml:space="preserve">There is a large population of smaller size ships - which have no satellite communication equipment on board, but do have regular VHF/AIS reception equipment – that could benefit from the services mentioned above. This would be of particular benefit for vessel populations in areas with limited shore based infrastructure. </w:t>
      </w:r>
    </w:p>
    <w:p w:rsidR="00AA7462" w:rsidRDefault="00AA7462" w:rsidP="00704619">
      <w:pPr>
        <w:rPr>
          <w:lang w:val="en-GB"/>
        </w:rPr>
      </w:pPr>
      <w:r>
        <w:rPr>
          <w:lang w:val="en-GB"/>
        </w:rPr>
        <w:t xml:space="preserve">Using low-cost satellite reception technology, VDE-SAT can address a large population of ships and offer services for non-SOLAS vessels, fishing vessel, recreational users, life rafts, and even individuals in distress. </w:t>
      </w:r>
    </w:p>
    <w:p w:rsidR="00AA7462" w:rsidRDefault="00AA7462" w:rsidP="00704619">
      <w:pPr>
        <w:rPr>
          <w:b/>
          <w:lang w:val="en-GB"/>
        </w:rPr>
      </w:pPr>
    </w:p>
    <w:p w:rsidR="00AA7462" w:rsidRDefault="00AA7462" w:rsidP="00704619">
      <w:pPr>
        <w:pStyle w:val="Heading1"/>
        <w:numPr>
          <w:ilvl w:val="0"/>
          <w:numId w:val="4"/>
        </w:numPr>
        <w:textAlignment w:val="auto"/>
        <w:rPr>
          <w:lang w:val="en-GB"/>
        </w:rPr>
      </w:pPr>
      <w:r>
        <w:rPr>
          <w:lang w:val="en-GB"/>
        </w:rPr>
        <w:t>Overall architecture, operational characteristics and assumptions</w:t>
      </w:r>
    </w:p>
    <w:p w:rsidR="00AA7462" w:rsidRDefault="00AA7462" w:rsidP="00704619">
      <w:pPr>
        <w:keepNext/>
        <w:tabs>
          <w:tab w:val="clear" w:pos="794"/>
          <w:tab w:val="clear" w:pos="1191"/>
          <w:tab w:val="clear" w:pos="1588"/>
          <w:tab w:val="clear" w:pos="1985"/>
          <w:tab w:val="left" w:pos="1134"/>
          <w:tab w:val="left" w:pos="1871"/>
          <w:tab w:val="left" w:pos="2268"/>
        </w:tabs>
        <w:spacing w:before="160"/>
        <w:jc w:val="left"/>
        <w:rPr>
          <w:rFonts w:ascii="Times" w:hAnsi="Times"/>
          <w:b/>
          <w:lang w:val="en-GB"/>
        </w:rPr>
      </w:pPr>
      <w:r>
        <w:rPr>
          <w:rFonts w:ascii="Times" w:hAnsi="Times"/>
          <w:b/>
          <w:lang w:val="en-GB"/>
        </w:rPr>
        <w:t>Architecture</w:t>
      </w:r>
    </w:p>
    <w:p w:rsidR="00AA7462" w:rsidRDefault="00AA7462" w:rsidP="00704619">
      <w:pPr>
        <w:tabs>
          <w:tab w:val="clear" w:pos="794"/>
          <w:tab w:val="clear" w:pos="1191"/>
          <w:tab w:val="clear" w:pos="1588"/>
          <w:tab w:val="clear" w:pos="1985"/>
          <w:tab w:val="left" w:pos="1134"/>
          <w:tab w:val="left" w:pos="1871"/>
          <w:tab w:val="left" w:pos="2268"/>
        </w:tabs>
        <w:rPr>
          <w:lang w:val="en-GB"/>
        </w:rPr>
      </w:pPr>
      <w:r>
        <w:rPr>
          <w:lang w:val="en-GB"/>
        </w:rPr>
        <w:t xml:space="preserve">The VDE-SAT is composed of one or more satellites transmitting and receiving in the maritime VHF bands – this is the </w:t>
      </w:r>
      <w:r>
        <w:rPr>
          <w:i/>
          <w:lang w:val="en-GB"/>
        </w:rPr>
        <w:t>space segment</w:t>
      </w:r>
      <w:r>
        <w:rPr>
          <w:lang w:val="en-GB"/>
        </w:rPr>
        <w:t>.</w:t>
      </w:r>
    </w:p>
    <w:p w:rsidR="00AA7462" w:rsidRDefault="00AA7462" w:rsidP="00704619">
      <w:pPr>
        <w:tabs>
          <w:tab w:val="clear" w:pos="794"/>
          <w:tab w:val="clear" w:pos="1191"/>
          <w:tab w:val="clear" w:pos="1588"/>
          <w:tab w:val="clear" w:pos="1985"/>
          <w:tab w:val="left" w:pos="1134"/>
          <w:tab w:val="left" w:pos="1871"/>
          <w:tab w:val="left" w:pos="2268"/>
        </w:tabs>
        <w:rPr>
          <w:lang w:val="en-GB"/>
        </w:rPr>
      </w:pPr>
      <w:r>
        <w:rPr>
          <w:lang w:val="en-GB"/>
        </w:rPr>
        <w:t>Due to the frequencies used, it is likely that VDE-SAT will consist of low-earth orbiting (LEO) or medium-earth orbiting (MEO) satellites. VDE-SAT could also consist of hosted payload on spacecraft in such orbits.</w:t>
      </w:r>
    </w:p>
    <w:p w:rsidR="00AA7462" w:rsidRDefault="00AA7462" w:rsidP="00704619">
      <w:pPr>
        <w:tabs>
          <w:tab w:val="clear" w:pos="794"/>
          <w:tab w:val="clear" w:pos="1191"/>
          <w:tab w:val="clear" w:pos="1588"/>
          <w:tab w:val="clear" w:pos="1985"/>
          <w:tab w:val="left" w:pos="1134"/>
          <w:tab w:val="left" w:pos="1871"/>
          <w:tab w:val="left" w:pos="2268"/>
        </w:tabs>
        <w:rPr>
          <w:lang w:val="en-GB"/>
        </w:rPr>
      </w:pPr>
      <w:r>
        <w:rPr>
          <w:lang w:val="en-GB"/>
        </w:rPr>
        <w:t xml:space="preserve">Furthermore, the VDE-SAT user terminals will be integrated in ship-borne VDES equipment. This is called the </w:t>
      </w:r>
      <w:r>
        <w:rPr>
          <w:i/>
          <w:lang w:val="en-GB"/>
        </w:rPr>
        <w:t>user segment</w:t>
      </w:r>
      <w:r>
        <w:rPr>
          <w:lang w:val="en-GB"/>
        </w:rPr>
        <w:t>. These terminals could be integrated in the terrestrial VDE equipment along with ASM and AIS functionalities. Also VDE-SAT receive-only terminals can be considered: these would provide a very cost-effective means to disseminate maritime information to smaller ships outside terrestrial VHF coverage, for example in areas with limited shore based infrastructure</w:t>
      </w:r>
      <w:proofErr w:type="gramStart"/>
      <w:r>
        <w:rPr>
          <w:lang w:val="en-GB"/>
        </w:rPr>
        <w:t>..</w:t>
      </w:r>
      <w:proofErr w:type="gramEnd"/>
      <w:r>
        <w:rPr>
          <w:lang w:val="en-GB"/>
        </w:rPr>
        <w:t xml:space="preserve"> </w:t>
      </w:r>
    </w:p>
    <w:p w:rsidR="00AA7462" w:rsidRDefault="00AA7462" w:rsidP="00704619">
      <w:pPr>
        <w:tabs>
          <w:tab w:val="clear" w:pos="794"/>
          <w:tab w:val="clear" w:pos="1191"/>
          <w:tab w:val="clear" w:pos="1588"/>
          <w:tab w:val="clear" w:pos="1985"/>
          <w:tab w:val="left" w:pos="1134"/>
          <w:tab w:val="left" w:pos="1871"/>
          <w:tab w:val="left" w:pos="2268"/>
        </w:tabs>
        <w:rPr>
          <w:lang w:val="en-GB"/>
        </w:rPr>
      </w:pPr>
      <w:r>
        <w:rPr>
          <w:lang w:val="en-GB"/>
        </w:rPr>
        <w:t xml:space="preserve">Finally, there will be a </w:t>
      </w:r>
      <w:r>
        <w:rPr>
          <w:i/>
          <w:lang w:val="en-GB"/>
        </w:rPr>
        <w:t>ground segment</w:t>
      </w:r>
      <w:r>
        <w:rPr>
          <w:lang w:val="en-GB"/>
        </w:rPr>
        <w:t xml:space="preserve"> which consists of one of more ground stations that will send and receive maritime information to/from ships for further processing or dissemination, via the space segment.</w:t>
      </w:r>
    </w:p>
    <w:p w:rsidR="00AA7462" w:rsidRDefault="00AA7462" w:rsidP="00704619">
      <w:pPr>
        <w:keepNext/>
        <w:keepLines/>
        <w:tabs>
          <w:tab w:val="clear" w:pos="794"/>
          <w:tab w:val="clear" w:pos="1191"/>
          <w:tab w:val="clear" w:pos="1588"/>
          <w:tab w:val="clear" w:pos="1985"/>
          <w:tab w:val="left" w:pos="1134"/>
          <w:tab w:val="left" w:pos="1871"/>
          <w:tab w:val="left" w:pos="2268"/>
        </w:tabs>
        <w:spacing w:before="240"/>
        <w:jc w:val="center"/>
        <w:rPr>
          <w:b/>
          <w:caps/>
          <w:szCs w:val="24"/>
          <w:lang w:val="en-US"/>
        </w:rPr>
      </w:pPr>
      <w:r>
        <w:rPr>
          <w:b/>
          <w:caps/>
          <w:szCs w:val="24"/>
        </w:rPr>
        <w:lastRenderedPageBreak/>
        <w:t>FIGURE 2 VDE-SAT System Archiecture</w:t>
      </w:r>
    </w:p>
    <w:p w:rsidR="00AA7462" w:rsidRDefault="00AA7462" w:rsidP="00B748F1">
      <w:pPr>
        <w:tabs>
          <w:tab w:val="clear" w:pos="794"/>
          <w:tab w:val="clear" w:pos="1191"/>
          <w:tab w:val="clear" w:pos="1588"/>
          <w:tab w:val="clear" w:pos="1985"/>
          <w:tab w:val="left" w:pos="1134"/>
          <w:tab w:val="left" w:pos="1871"/>
          <w:tab w:val="left" w:pos="2268"/>
        </w:tabs>
        <w:jc w:val="left"/>
        <w:rPr>
          <w:lang w:val="en-GB"/>
        </w:rPr>
      </w:pPr>
      <w:r w:rsidRPr="00955114">
        <w:rPr>
          <w:b/>
          <w:lang w:val="en-GB"/>
        </w:rPr>
        <w:object w:dxaOrig="9645" w:dyaOrig="64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25pt;height:322.5pt" o:ole="">
            <v:imagedata r:id="rId9" o:title=""/>
          </v:shape>
          <o:OLEObject Type="Embed" ProgID="Visio.Drawing.11" ShapeID="_x0000_i1025" DrawAspect="Content" ObjectID="_1444107738" r:id="rId10"/>
        </w:object>
      </w:r>
      <w:r>
        <w:rPr>
          <w:b/>
          <w:lang w:val="en-GB"/>
        </w:rPr>
        <w:t>Note: Communication between the coastal VDE station, Maritime information provider and VDE SAT ground station is not part of the VDES architecture</w:t>
      </w:r>
    </w:p>
    <w:p w:rsidR="00AA7462" w:rsidRDefault="00AA7462" w:rsidP="00704619">
      <w:pPr>
        <w:tabs>
          <w:tab w:val="clear" w:pos="794"/>
          <w:tab w:val="clear" w:pos="1191"/>
          <w:tab w:val="clear" w:pos="1588"/>
          <w:tab w:val="clear" w:pos="1985"/>
          <w:tab w:val="left" w:pos="1134"/>
          <w:tab w:val="left" w:pos="1871"/>
          <w:tab w:val="left" w:pos="2268"/>
        </w:tabs>
        <w:jc w:val="left"/>
        <w:rPr>
          <w:lang w:val="en-GB"/>
        </w:rPr>
      </w:pPr>
    </w:p>
    <w:p w:rsidR="00AA7462" w:rsidRDefault="00AA7462" w:rsidP="00704619">
      <w:pPr>
        <w:keepNext/>
        <w:tabs>
          <w:tab w:val="clear" w:pos="794"/>
          <w:tab w:val="clear" w:pos="1191"/>
          <w:tab w:val="clear" w:pos="1588"/>
          <w:tab w:val="clear" w:pos="1985"/>
          <w:tab w:val="left" w:pos="1134"/>
          <w:tab w:val="left" w:pos="1871"/>
          <w:tab w:val="left" w:pos="2268"/>
        </w:tabs>
        <w:spacing w:before="160"/>
        <w:jc w:val="left"/>
        <w:rPr>
          <w:rFonts w:ascii="Times" w:hAnsi="Times"/>
          <w:b/>
          <w:lang w:val="en-GB"/>
        </w:rPr>
      </w:pPr>
      <w:r>
        <w:rPr>
          <w:rFonts w:ascii="Times" w:hAnsi="Times"/>
          <w:b/>
          <w:lang w:val="en-GB"/>
        </w:rPr>
        <w:t>Operational characteristics</w:t>
      </w:r>
    </w:p>
    <w:p w:rsidR="00AA7462" w:rsidRDefault="00AA7462" w:rsidP="00704619">
      <w:pPr>
        <w:tabs>
          <w:tab w:val="clear" w:pos="794"/>
          <w:tab w:val="clear" w:pos="1191"/>
          <w:tab w:val="clear" w:pos="1588"/>
          <w:tab w:val="clear" w:pos="1985"/>
          <w:tab w:val="left" w:pos="1134"/>
          <w:tab w:val="left" w:pos="1871"/>
          <w:tab w:val="left" w:pos="2268"/>
        </w:tabs>
        <w:rPr>
          <w:lang w:val="en-GB"/>
        </w:rPr>
      </w:pPr>
      <w:r>
        <w:rPr>
          <w:lang w:val="en-GB"/>
        </w:rPr>
        <w:t>The VDE-SAT should complement the VDES terrestrial in areas in which no terrestrial VDE coverage is available, i.e. at the high-seas.</w:t>
      </w:r>
    </w:p>
    <w:p w:rsidR="00AA7462" w:rsidRDefault="00AA7462" w:rsidP="00704619">
      <w:pPr>
        <w:tabs>
          <w:tab w:val="clear" w:pos="794"/>
          <w:tab w:val="clear" w:pos="1191"/>
          <w:tab w:val="clear" w:pos="1588"/>
          <w:tab w:val="clear" w:pos="1985"/>
          <w:tab w:val="left" w:pos="1134"/>
          <w:tab w:val="left" w:pos="1871"/>
          <w:tab w:val="left" w:pos="2268"/>
        </w:tabs>
        <w:rPr>
          <w:lang w:val="en-GB"/>
        </w:rPr>
      </w:pPr>
      <w:r>
        <w:rPr>
          <w:lang w:val="en-GB"/>
        </w:rPr>
        <w:t xml:space="preserve">The VDE-SAT should provide a communication channel that is coordinated with terrestrial VDE, ASM and AIS functionalities. </w:t>
      </w:r>
    </w:p>
    <w:p w:rsidR="00AA7462" w:rsidRDefault="00AA7462" w:rsidP="00704619">
      <w:pPr>
        <w:tabs>
          <w:tab w:val="clear" w:pos="794"/>
          <w:tab w:val="clear" w:pos="1191"/>
          <w:tab w:val="clear" w:pos="1588"/>
          <w:tab w:val="clear" w:pos="1985"/>
          <w:tab w:val="left" w:pos="1134"/>
          <w:tab w:val="left" w:pos="1871"/>
          <w:tab w:val="left" w:pos="2268"/>
        </w:tabs>
        <w:rPr>
          <w:lang w:val="en-GB"/>
        </w:rPr>
      </w:pPr>
      <w:r>
        <w:rPr>
          <w:lang w:val="en-GB"/>
        </w:rPr>
        <w:t>The VDE-SAT should provide a downlink capability (i.e. allow to send information from a ground station to one or more ships). Note that VDE-SAT will likely use its specific unicast, multicast or broadcast capability which is inherent in a satellite downlink.</w:t>
      </w:r>
    </w:p>
    <w:p w:rsidR="00AA7462" w:rsidRDefault="00AA7462" w:rsidP="00704619">
      <w:pPr>
        <w:tabs>
          <w:tab w:val="clear" w:pos="794"/>
          <w:tab w:val="clear" w:pos="1191"/>
          <w:tab w:val="clear" w:pos="1588"/>
          <w:tab w:val="clear" w:pos="1985"/>
          <w:tab w:val="left" w:pos="1134"/>
          <w:tab w:val="left" w:pos="1871"/>
          <w:tab w:val="left" w:pos="2268"/>
        </w:tabs>
        <w:rPr>
          <w:lang w:val="en-GB"/>
        </w:rPr>
      </w:pPr>
      <w:r>
        <w:rPr>
          <w:lang w:val="en-GB"/>
        </w:rPr>
        <w:t>The VDE-SAT should provide an uplink capability (i.e. allow a ship to send information to the satellite, for further relaying to a ground station).</w:t>
      </w:r>
    </w:p>
    <w:p w:rsidR="00AA7462" w:rsidRDefault="00AA7462" w:rsidP="00704619">
      <w:pPr>
        <w:tabs>
          <w:tab w:val="clear" w:pos="794"/>
          <w:tab w:val="clear" w:pos="1191"/>
          <w:tab w:val="clear" w:pos="1588"/>
          <w:tab w:val="clear" w:pos="1985"/>
          <w:tab w:val="left" w:pos="1134"/>
          <w:tab w:val="left" w:pos="1871"/>
          <w:tab w:val="left" w:pos="2268"/>
        </w:tabs>
        <w:rPr>
          <w:lang w:val="en-GB"/>
        </w:rPr>
      </w:pPr>
      <w:r>
        <w:rPr>
          <w:lang w:val="en-GB"/>
        </w:rPr>
        <w:t>As VDE-SAT will be based on LEO or MEO satellite(s), provisions will need to be taken for the discontinuous contact that ships will have with individual satellites. Furthermore, if there are multiple VDE-SAT satellites or payload footprints that overlap, some coordination between them may be required.</w:t>
      </w:r>
    </w:p>
    <w:p w:rsidR="00AA7462" w:rsidRDefault="00AA7462" w:rsidP="00704619">
      <w:pPr>
        <w:tabs>
          <w:tab w:val="clear" w:pos="794"/>
          <w:tab w:val="clear" w:pos="1191"/>
          <w:tab w:val="clear" w:pos="1588"/>
          <w:tab w:val="clear" w:pos="1985"/>
          <w:tab w:val="left" w:pos="1134"/>
          <w:tab w:val="left" w:pos="1871"/>
          <w:tab w:val="left" w:pos="2268"/>
        </w:tabs>
        <w:rPr>
          <w:lang w:val="en-GB"/>
        </w:rPr>
      </w:pPr>
      <w:r>
        <w:rPr>
          <w:lang w:val="en-GB"/>
        </w:rPr>
        <w:t xml:space="preserve">It is proposed that VDE-SAT supports priority, pre-emption and precedence for different services; this could be mapped into different downlinks. </w:t>
      </w:r>
    </w:p>
    <w:p w:rsidR="00AA7462" w:rsidRDefault="00AA7462" w:rsidP="00704619">
      <w:pPr>
        <w:tabs>
          <w:tab w:val="clear" w:pos="794"/>
          <w:tab w:val="clear" w:pos="1191"/>
          <w:tab w:val="clear" w:pos="1588"/>
          <w:tab w:val="clear" w:pos="1985"/>
          <w:tab w:val="left" w:pos="6249"/>
        </w:tabs>
        <w:jc w:val="left"/>
        <w:rPr>
          <w:lang w:val="en-GB"/>
        </w:rPr>
      </w:pPr>
      <w:r>
        <w:rPr>
          <w:lang w:val="en-GB"/>
        </w:rPr>
        <w:tab/>
      </w:r>
    </w:p>
    <w:p w:rsidR="00AA7462" w:rsidRDefault="00AA7462" w:rsidP="00704619">
      <w:pPr>
        <w:pStyle w:val="Heading1"/>
        <w:numPr>
          <w:ilvl w:val="0"/>
          <w:numId w:val="4"/>
        </w:numPr>
        <w:textAlignment w:val="auto"/>
        <w:rPr>
          <w:lang w:val="en-GB"/>
        </w:rPr>
      </w:pPr>
      <w:r>
        <w:rPr>
          <w:lang w:val="en-GB"/>
        </w:rPr>
        <w:lastRenderedPageBreak/>
        <w:t>Technical characteristics</w:t>
      </w:r>
    </w:p>
    <w:p w:rsidR="00AA7462" w:rsidRDefault="00AA7462" w:rsidP="00704619">
      <w:pPr>
        <w:keepNext/>
        <w:tabs>
          <w:tab w:val="clear" w:pos="794"/>
          <w:tab w:val="clear" w:pos="1191"/>
          <w:tab w:val="clear" w:pos="1588"/>
          <w:tab w:val="clear" w:pos="1985"/>
          <w:tab w:val="left" w:pos="1134"/>
          <w:tab w:val="left" w:pos="1871"/>
          <w:tab w:val="left" w:pos="2268"/>
        </w:tabs>
        <w:spacing w:before="160"/>
        <w:jc w:val="left"/>
        <w:rPr>
          <w:rFonts w:ascii="Times" w:hAnsi="Times"/>
          <w:b/>
          <w:lang w:val="en-GB"/>
        </w:rPr>
      </w:pPr>
      <w:r>
        <w:rPr>
          <w:rFonts w:ascii="Times" w:hAnsi="Times"/>
          <w:b/>
          <w:lang w:val="en-GB"/>
        </w:rPr>
        <w:t>VDE-SAT channels and spectrum</w:t>
      </w:r>
    </w:p>
    <w:p w:rsidR="00AA7462" w:rsidRDefault="00AA7462" w:rsidP="00704619">
      <w:pPr>
        <w:tabs>
          <w:tab w:val="clear" w:pos="794"/>
          <w:tab w:val="clear" w:pos="1191"/>
          <w:tab w:val="clear" w:pos="1588"/>
          <w:tab w:val="clear" w:pos="1985"/>
          <w:tab w:val="left" w:pos="1134"/>
          <w:tab w:val="left" w:pos="1871"/>
          <w:tab w:val="left" w:pos="2268"/>
        </w:tabs>
        <w:rPr>
          <w:lang w:val="en-US"/>
        </w:rPr>
      </w:pPr>
      <w:r w:rsidRPr="005F4502">
        <w:rPr>
          <w:lang w:val="en-US"/>
        </w:rPr>
        <w:t xml:space="preserve">The VDE-SAT downlink should be used for data downlink from the satellite to vessels in a broadcast, multicast or unicast manner. The VDE-SAT should also provide data uplink from vessels to satellites using one or several multiple-access schemes. The data communication exchange via satellite can for example use one of the following methods (as also depicted in the Figure  below):  </w:t>
      </w:r>
    </w:p>
    <w:p w:rsidR="00AA7462" w:rsidRDefault="00AA7462" w:rsidP="00704619">
      <w:pPr>
        <w:tabs>
          <w:tab w:val="clear" w:pos="794"/>
          <w:tab w:val="clear" w:pos="1191"/>
          <w:tab w:val="clear" w:pos="1588"/>
          <w:tab w:val="clear" w:pos="1985"/>
          <w:tab w:val="left" w:pos="1134"/>
          <w:tab w:val="left" w:pos="1871"/>
          <w:tab w:val="left" w:pos="2268"/>
        </w:tabs>
        <w:jc w:val="left"/>
      </w:pPr>
      <w:r w:rsidRPr="00955114">
        <w:rPr>
          <w:lang w:val="en-US"/>
        </w:rPr>
        <w:object w:dxaOrig="9615" w:dyaOrig="1155">
          <v:shape id="_x0000_i1026" type="#_x0000_t75" style="width:480.75pt;height:57pt" o:ole="">
            <v:imagedata r:id="rId11" o:title=""/>
          </v:shape>
          <o:OLEObject Type="Embed" ProgID="Visio.Drawing.11" ShapeID="_x0000_i1026" DrawAspect="Content" ObjectID="_1444107739" r:id="rId12"/>
        </w:object>
      </w:r>
    </w:p>
    <w:p w:rsidR="00AA7462" w:rsidRDefault="00AA7462" w:rsidP="00704619">
      <w:pPr>
        <w:tabs>
          <w:tab w:val="clear" w:pos="794"/>
          <w:tab w:val="clear" w:pos="1191"/>
          <w:tab w:val="clear" w:pos="1588"/>
          <w:tab w:val="clear" w:pos="1985"/>
          <w:tab w:val="left" w:pos="1134"/>
          <w:tab w:val="left" w:pos="1871"/>
          <w:tab w:val="left" w:pos="2268"/>
        </w:tabs>
        <w:jc w:val="center"/>
        <w:rPr>
          <w:b/>
        </w:rPr>
      </w:pPr>
      <w:r>
        <w:rPr>
          <w:b/>
        </w:rPr>
        <w:t>Figure 3: VDES channel allocation</w:t>
      </w:r>
    </w:p>
    <w:p w:rsidR="00AA7462" w:rsidRPr="00B748F1" w:rsidRDefault="00AA7462" w:rsidP="00704619">
      <w:pPr>
        <w:tabs>
          <w:tab w:val="clear" w:pos="794"/>
          <w:tab w:val="clear" w:pos="1191"/>
          <w:tab w:val="clear" w:pos="1588"/>
          <w:tab w:val="clear" w:pos="1985"/>
          <w:tab w:val="left" w:pos="1134"/>
          <w:tab w:val="left" w:pos="1871"/>
          <w:tab w:val="left" w:pos="2268"/>
        </w:tabs>
        <w:jc w:val="center"/>
        <w:rPr>
          <w:b/>
          <w:lang w:val="en-US"/>
        </w:rPr>
      </w:pPr>
      <w:r w:rsidRPr="00B748F1">
        <w:rPr>
          <w:b/>
          <w:highlight w:val="yellow"/>
          <w:lang w:val="en-US"/>
        </w:rPr>
        <w:t>Note: reconc</w:t>
      </w:r>
      <w:r>
        <w:rPr>
          <w:b/>
          <w:highlight w:val="yellow"/>
          <w:lang w:val="en-US"/>
        </w:rPr>
        <w:t>ile with T</w:t>
      </w:r>
      <w:r w:rsidRPr="00B748F1">
        <w:rPr>
          <w:b/>
          <w:highlight w:val="yellow"/>
          <w:lang w:val="en-US"/>
        </w:rPr>
        <w:t>able 1</w:t>
      </w:r>
      <w:r w:rsidRPr="00B748F1">
        <w:rPr>
          <w:b/>
          <w:lang w:val="en-US"/>
        </w:rPr>
        <w:t xml:space="preserve"> </w:t>
      </w:r>
    </w:p>
    <w:p w:rsidR="00AA7462" w:rsidRDefault="00AA7462" w:rsidP="00704619">
      <w:pPr>
        <w:pStyle w:val="ListParagraph"/>
        <w:numPr>
          <w:ilvl w:val="0"/>
          <w:numId w:val="5"/>
        </w:numPr>
        <w:tabs>
          <w:tab w:val="clear" w:pos="794"/>
          <w:tab w:val="clear" w:pos="1191"/>
          <w:tab w:val="clear" w:pos="1588"/>
          <w:tab w:val="clear" w:pos="1985"/>
          <w:tab w:val="left" w:pos="1134"/>
          <w:tab w:val="left" w:pos="1871"/>
          <w:tab w:val="left" w:pos="2268"/>
        </w:tabs>
        <w:jc w:val="left"/>
      </w:pPr>
      <w:r>
        <w:t xml:space="preserve">  SAT 1 downlink</w:t>
      </w:r>
    </w:p>
    <w:p w:rsidR="00AA7462" w:rsidRPr="005F4502" w:rsidRDefault="00AA7462" w:rsidP="00704619">
      <w:pPr>
        <w:tabs>
          <w:tab w:val="clear" w:pos="794"/>
          <w:tab w:val="clear" w:pos="1191"/>
          <w:tab w:val="clear" w:pos="1588"/>
          <w:tab w:val="clear" w:pos="1985"/>
          <w:tab w:val="left" w:pos="1134"/>
          <w:tab w:val="left" w:pos="1871"/>
          <w:tab w:val="left" w:pos="2268"/>
        </w:tabs>
        <w:rPr>
          <w:lang w:val="en-US"/>
        </w:rPr>
      </w:pPr>
      <w:r w:rsidRPr="005F4502">
        <w:rPr>
          <w:lang w:val="en-US"/>
        </w:rPr>
        <w:t>The SAT1 downlink frequency spectrum consists of two 25 kHz channels (2026 and 2086). These channels are preferably bundled into one 50 kHz channel to reduce the guard band (needed due to the frequency Doppler shift of incoming signals from LEO satellites), increase the throughput, and more importantly, improve the power efficiency of the satellite power amplifier (avoiding multi-carrier transmission which typically requires a larger output back-off).</w:t>
      </w:r>
    </w:p>
    <w:p w:rsidR="00AA7462" w:rsidRPr="005F4502" w:rsidRDefault="00AA7462" w:rsidP="00704619">
      <w:pPr>
        <w:tabs>
          <w:tab w:val="clear" w:pos="794"/>
          <w:tab w:val="clear" w:pos="1191"/>
          <w:tab w:val="clear" w:pos="1588"/>
          <w:tab w:val="clear" w:pos="1985"/>
          <w:tab w:val="left" w:pos="1134"/>
          <w:tab w:val="left" w:pos="1871"/>
          <w:tab w:val="left" w:pos="2268"/>
        </w:tabs>
        <w:rPr>
          <w:lang w:val="en-US"/>
        </w:rPr>
      </w:pPr>
      <w:r w:rsidRPr="005F4502">
        <w:rPr>
          <w:lang w:val="en-US"/>
        </w:rPr>
        <w:t>The SAT1 signal reception on-board of a ship is likely to be interrupted during the AIS</w:t>
      </w:r>
      <w:r>
        <w:rPr>
          <w:lang w:val="en-US"/>
        </w:rPr>
        <w:t>,</w:t>
      </w:r>
      <w:r w:rsidRPr="005F4502">
        <w:rPr>
          <w:lang w:val="en-US"/>
        </w:rPr>
        <w:t xml:space="preserve"> ASM</w:t>
      </w:r>
      <w:r>
        <w:rPr>
          <w:lang w:val="en-US"/>
        </w:rPr>
        <w:t>, DSC, VHF voice</w:t>
      </w:r>
      <w:r w:rsidRPr="005F4502">
        <w:rPr>
          <w:lang w:val="en-US"/>
        </w:rPr>
        <w:t xml:space="preserve"> </w:t>
      </w:r>
      <w:r>
        <w:rPr>
          <w:lang w:val="en-US"/>
        </w:rPr>
        <w:t>and</w:t>
      </w:r>
      <w:r w:rsidRPr="005F4502">
        <w:rPr>
          <w:lang w:val="en-US"/>
        </w:rPr>
        <w:t xml:space="preserve"> VDE1 (terrestrial)  transmission by the same ship. The frame structure for SAT1 downlink should facilitate the signal reacquisition and minimize the loss of VDE-SAT downlink frames. This </w:t>
      </w:r>
      <w:r>
        <w:rPr>
          <w:lang w:val="en-US"/>
        </w:rPr>
        <w:t xml:space="preserve">may </w:t>
      </w:r>
      <w:r w:rsidRPr="005F4502">
        <w:rPr>
          <w:lang w:val="en-US"/>
        </w:rPr>
        <w:t xml:space="preserve">be accomplished by coordinated time allocation or other means to mitigate interference. </w:t>
      </w:r>
    </w:p>
    <w:p w:rsidR="00AA7462" w:rsidRPr="005F4502" w:rsidRDefault="00AA7462" w:rsidP="00704619">
      <w:pPr>
        <w:tabs>
          <w:tab w:val="clear" w:pos="794"/>
          <w:tab w:val="clear" w:pos="1191"/>
          <w:tab w:val="clear" w:pos="1588"/>
          <w:tab w:val="clear" w:pos="1985"/>
          <w:tab w:val="left" w:pos="1134"/>
          <w:tab w:val="left" w:pos="1871"/>
          <w:tab w:val="left" w:pos="2268"/>
        </w:tabs>
        <w:rPr>
          <w:lang w:val="en-US"/>
        </w:rPr>
      </w:pPr>
      <w:r w:rsidRPr="005F4502">
        <w:rPr>
          <w:lang w:val="en-US"/>
        </w:rPr>
        <w:t xml:space="preserve">Due to the power flux limit imposed on the VDE-SAT downlink (as part of frequency sharing criterion with land mobile), </w:t>
      </w:r>
      <w:r>
        <w:rPr>
          <w:lang w:val="en-US"/>
        </w:rPr>
        <w:t xml:space="preserve">a </w:t>
      </w:r>
      <w:r w:rsidRPr="005F4502">
        <w:rPr>
          <w:lang w:val="en-US"/>
        </w:rPr>
        <w:t xml:space="preserve">certain level of redundancy (in the form of frame repetition, forward error correction or higher layer redundancy) should be implemented in the VDE-SAT </w:t>
      </w:r>
      <w:r>
        <w:rPr>
          <w:lang w:val="en-US"/>
        </w:rPr>
        <w:t xml:space="preserve">protocol </w:t>
      </w:r>
      <w:r w:rsidRPr="005F4502">
        <w:rPr>
          <w:lang w:val="en-US"/>
        </w:rPr>
        <w:t>in order to mitigate the error and enhance the data detection probability.</w:t>
      </w:r>
    </w:p>
    <w:p w:rsidR="00AA7462" w:rsidRPr="005F4502" w:rsidRDefault="00AA7462" w:rsidP="00704619">
      <w:pPr>
        <w:tabs>
          <w:tab w:val="clear" w:pos="794"/>
          <w:tab w:val="clear" w:pos="1191"/>
          <w:tab w:val="clear" w:pos="1588"/>
          <w:tab w:val="clear" w:pos="1985"/>
          <w:tab w:val="left" w:pos="1134"/>
          <w:tab w:val="left" w:pos="1871"/>
          <w:tab w:val="left" w:pos="2268"/>
        </w:tabs>
        <w:rPr>
          <w:lang w:val="en-US"/>
        </w:rPr>
      </w:pPr>
      <w:r w:rsidRPr="005F4502">
        <w:rPr>
          <w:lang w:val="en-US"/>
        </w:rPr>
        <w:t xml:space="preserve">The VDE-SAT downlink </w:t>
      </w:r>
      <w:r>
        <w:rPr>
          <w:lang w:val="en-US"/>
        </w:rPr>
        <w:t xml:space="preserve">signal </w:t>
      </w:r>
      <w:r w:rsidRPr="005F4502">
        <w:rPr>
          <w:lang w:val="en-US"/>
        </w:rPr>
        <w:t xml:space="preserve"> should also include repeated known symbols (pilots, preamble, post-amble) to facilitate signal detection and synchronization as well as possible interference mitigation and channel estimation.</w:t>
      </w:r>
    </w:p>
    <w:p w:rsidR="00AA7462" w:rsidRPr="005F4502" w:rsidRDefault="00AA7462" w:rsidP="00704619">
      <w:pPr>
        <w:tabs>
          <w:tab w:val="clear" w:pos="794"/>
          <w:tab w:val="clear" w:pos="1191"/>
          <w:tab w:val="clear" w:pos="1588"/>
          <w:tab w:val="clear" w:pos="1985"/>
          <w:tab w:val="left" w:pos="1134"/>
          <w:tab w:val="left" w:pos="1871"/>
          <w:tab w:val="left" w:pos="2268"/>
        </w:tabs>
        <w:rPr>
          <w:lang w:val="en-US"/>
        </w:rPr>
      </w:pPr>
      <w:r w:rsidRPr="005F4502">
        <w:rPr>
          <w:lang w:val="en-US"/>
        </w:rPr>
        <w:t xml:space="preserve">In order to avoid unwanted in-band spectral lines, the data symbols should be scrambled with a known sequence. </w:t>
      </w:r>
    </w:p>
    <w:p w:rsidR="00AA7462" w:rsidRDefault="00AA7462" w:rsidP="00704619">
      <w:pPr>
        <w:pStyle w:val="ListParagraph"/>
        <w:numPr>
          <w:ilvl w:val="0"/>
          <w:numId w:val="5"/>
        </w:numPr>
        <w:tabs>
          <w:tab w:val="clear" w:pos="794"/>
          <w:tab w:val="clear" w:pos="1191"/>
          <w:tab w:val="clear" w:pos="1588"/>
          <w:tab w:val="clear" w:pos="1985"/>
          <w:tab w:val="left" w:pos="1134"/>
          <w:tab w:val="left" w:pos="1871"/>
          <w:tab w:val="left" w:pos="2268"/>
        </w:tabs>
        <w:spacing w:before="240"/>
        <w:jc w:val="left"/>
      </w:pPr>
      <w:r>
        <w:t xml:space="preserve">VDE-SAT Extended Downlink (SAT1 + </w:t>
      </w:r>
      <w:r w:rsidRPr="00B748F1">
        <w:rPr>
          <w:highlight w:val="yellow"/>
        </w:rPr>
        <w:t>SAT 2</w:t>
      </w:r>
      <w:r>
        <w:t xml:space="preserve"> downlink extension)</w:t>
      </w:r>
    </w:p>
    <w:p w:rsidR="00AA7462" w:rsidRDefault="00AA7462" w:rsidP="00704619">
      <w:pPr>
        <w:pStyle w:val="ListParagraph"/>
        <w:tabs>
          <w:tab w:val="clear" w:pos="794"/>
          <w:tab w:val="clear" w:pos="1191"/>
          <w:tab w:val="clear" w:pos="1588"/>
          <w:tab w:val="clear" w:pos="1985"/>
          <w:tab w:val="left" w:pos="1134"/>
          <w:tab w:val="left" w:pos="1871"/>
          <w:tab w:val="left" w:pos="2268"/>
        </w:tabs>
        <w:spacing w:before="240"/>
        <w:ind w:left="360"/>
        <w:jc w:val="left"/>
      </w:pPr>
    </w:p>
    <w:p w:rsidR="00AA7462" w:rsidRPr="005F4502" w:rsidRDefault="00AA7462" w:rsidP="00704619">
      <w:pPr>
        <w:tabs>
          <w:tab w:val="clear" w:pos="794"/>
          <w:tab w:val="clear" w:pos="1191"/>
          <w:tab w:val="clear" w:pos="1588"/>
          <w:tab w:val="clear" w:pos="1985"/>
          <w:tab w:val="left" w:pos="1134"/>
          <w:tab w:val="left" w:pos="1871"/>
          <w:tab w:val="left" w:pos="2268"/>
        </w:tabs>
        <w:rPr>
          <w:lang w:val="en-US"/>
        </w:rPr>
      </w:pPr>
      <w:r w:rsidRPr="005F4502">
        <w:rPr>
          <w:lang w:val="en-US"/>
        </w:rPr>
        <w:t>At high seas, in the absence of shore-to-ship and ship-to-ship data exchange, the satellite data downlink can be significantly improved by assigning the entire 150 kHz bandwidth (corresponding to the upper frequency allo</w:t>
      </w:r>
      <w:r>
        <w:rPr>
          <w:lang w:val="en-US"/>
        </w:rPr>
        <w:t>cation</w:t>
      </w:r>
      <w:r w:rsidRPr="005F4502">
        <w:rPr>
          <w:lang w:val="en-US"/>
        </w:rPr>
        <w:t xml:space="preserve"> of the VDES) to the satellite downlink. This will allow for considerably larger volume of data downlink to ships per each satellite pass in high seas. </w:t>
      </w:r>
    </w:p>
    <w:p w:rsidR="00AA7462" w:rsidRPr="005F4502" w:rsidRDefault="00AA7462" w:rsidP="00704619">
      <w:pPr>
        <w:tabs>
          <w:tab w:val="clear" w:pos="794"/>
          <w:tab w:val="clear" w:pos="1191"/>
          <w:tab w:val="clear" w:pos="1588"/>
          <w:tab w:val="clear" w:pos="1985"/>
          <w:tab w:val="left" w:pos="1134"/>
          <w:tab w:val="left" w:pos="1871"/>
          <w:tab w:val="left" w:pos="2268"/>
        </w:tabs>
        <w:rPr>
          <w:lang w:val="en-US"/>
        </w:rPr>
      </w:pPr>
      <w:r w:rsidRPr="005F4502">
        <w:rPr>
          <w:lang w:val="en-US"/>
        </w:rPr>
        <w:t xml:space="preserve">The signal level generated by the satellite at the </w:t>
      </w:r>
      <w:r w:rsidRPr="00B748F1">
        <w:rPr>
          <w:highlight w:val="yellow"/>
          <w:lang w:val="en-US"/>
        </w:rPr>
        <w:t>SAT2</w:t>
      </w:r>
      <w:r w:rsidRPr="005F4502">
        <w:rPr>
          <w:lang w:val="en-US"/>
        </w:rPr>
        <w:t xml:space="preserve"> frequency range will be kept below the power flux density level limit (i.e. -125 dBW/m</w:t>
      </w:r>
      <w:r w:rsidRPr="005F4502">
        <w:rPr>
          <w:vertAlign w:val="superscript"/>
          <w:lang w:val="en-US"/>
        </w:rPr>
        <w:t xml:space="preserve">2 </w:t>
      </w:r>
      <w:r w:rsidRPr="005F4502">
        <w:rPr>
          <w:lang w:val="en-US"/>
        </w:rPr>
        <w:t>per 4 kHz) so that there is no harmful interference caused by the satellite downlink on the terrestrial VDE signal sharing the same frequency (ensuring in-band Carrier-to-interference requirements of terrestrial VDE receivers).</w:t>
      </w:r>
    </w:p>
    <w:p w:rsidR="00AA7462" w:rsidRPr="005F4502" w:rsidRDefault="00AA7462" w:rsidP="00704619">
      <w:pPr>
        <w:tabs>
          <w:tab w:val="clear" w:pos="794"/>
          <w:tab w:val="clear" w:pos="1191"/>
          <w:tab w:val="clear" w:pos="1588"/>
          <w:tab w:val="clear" w:pos="1985"/>
          <w:tab w:val="left" w:pos="1134"/>
          <w:tab w:val="left" w:pos="1871"/>
          <w:tab w:val="left" w:pos="2268"/>
        </w:tabs>
        <w:rPr>
          <w:lang w:val="en-US"/>
        </w:rPr>
      </w:pPr>
      <w:r w:rsidRPr="005F4502">
        <w:rPr>
          <w:lang w:val="en-US"/>
        </w:rPr>
        <w:t>It is envisaged that ship-borne receivers with a higher computation capabilities can detect terrestrial VDE and satellite downlink VDE that share the same frequency band.</w:t>
      </w:r>
    </w:p>
    <w:p w:rsidR="00AA7462" w:rsidRPr="005F4502" w:rsidRDefault="00AA7462" w:rsidP="00704619">
      <w:pPr>
        <w:tabs>
          <w:tab w:val="clear" w:pos="794"/>
          <w:tab w:val="clear" w:pos="1191"/>
          <w:tab w:val="clear" w:pos="1588"/>
          <w:tab w:val="clear" w:pos="1985"/>
          <w:tab w:val="left" w:pos="1134"/>
          <w:tab w:val="left" w:pos="1871"/>
          <w:tab w:val="left" w:pos="2268"/>
        </w:tabs>
        <w:rPr>
          <w:lang w:val="en-US"/>
        </w:rPr>
      </w:pPr>
      <w:r w:rsidRPr="005F4502">
        <w:rPr>
          <w:lang w:val="en-US"/>
        </w:rPr>
        <w:lastRenderedPageBreak/>
        <w:t>Within the VDES system further dissemination of data can be achieved through mesh networking mechanisms where the data received from the satellite is relayed to other users using the terrestrial ship to ship VDE.</w:t>
      </w:r>
    </w:p>
    <w:p w:rsidR="00AA7462" w:rsidRDefault="00AA7462" w:rsidP="00704619">
      <w:pPr>
        <w:pStyle w:val="ListParagraph"/>
        <w:numPr>
          <w:ilvl w:val="0"/>
          <w:numId w:val="5"/>
        </w:numPr>
        <w:tabs>
          <w:tab w:val="clear" w:pos="794"/>
          <w:tab w:val="clear" w:pos="1191"/>
          <w:tab w:val="clear" w:pos="1588"/>
          <w:tab w:val="clear" w:pos="1985"/>
          <w:tab w:val="left" w:pos="1134"/>
          <w:tab w:val="left" w:pos="1871"/>
          <w:tab w:val="left" w:pos="2268"/>
        </w:tabs>
        <w:spacing w:before="240"/>
        <w:jc w:val="left"/>
      </w:pPr>
      <w:r w:rsidRPr="00B748F1">
        <w:rPr>
          <w:highlight w:val="yellow"/>
        </w:rPr>
        <w:t>SAT 3</w:t>
      </w:r>
      <w:r>
        <w:t xml:space="preserve"> Uplink</w:t>
      </w:r>
    </w:p>
    <w:p w:rsidR="00AA7462" w:rsidRPr="005F4502" w:rsidRDefault="00AA7462" w:rsidP="00704619">
      <w:pPr>
        <w:tabs>
          <w:tab w:val="clear" w:pos="794"/>
          <w:tab w:val="clear" w:pos="1191"/>
          <w:tab w:val="clear" w:pos="1588"/>
          <w:tab w:val="clear" w:pos="1985"/>
          <w:tab w:val="left" w:pos="1134"/>
          <w:tab w:val="left" w:pos="1871"/>
          <w:tab w:val="left" w:pos="2268"/>
        </w:tabs>
        <w:jc w:val="left"/>
        <w:rPr>
          <w:lang w:val="en-US"/>
        </w:rPr>
      </w:pPr>
      <w:r w:rsidRPr="005F4502">
        <w:rPr>
          <w:lang w:val="en-US"/>
        </w:rPr>
        <w:t xml:space="preserve">At the high sea, the frequency spectrum corresponding to 6 lower VDE channels (starting from Channel 1024) will be used for satellite data uplink. Compared to the AIS channels, and long range AIS, these 6 channels with a contiguous bandwidth of 150 kHz provide a significant data uplink capability via satellite. </w:t>
      </w:r>
    </w:p>
    <w:p w:rsidR="00AA7462" w:rsidRPr="005F4502" w:rsidRDefault="00AA7462" w:rsidP="00704619">
      <w:pPr>
        <w:tabs>
          <w:tab w:val="clear" w:pos="794"/>
          <w:tab w:val="clear" w:pos="1191"/>
          <w:tab w:val="clear" w:pos="1588"/>
          <w:tab w:val="clear" w:pos="1985"/>
          <w:tab w:val="left" w:pos="1134"/>
          <w:tab w:val="left" w:pos="1871"/>
          <w:tab w:val="left" w:pos="2268"/>
        </w:tabs>
        <w:rPr>
          <w:lang w:val="en-US"/>
        </w:rPr>
      </w:pPr>
      <w:r w:rsidRPr="005F4502">
        <w:rPr>
          <w:lang w:val="en-US"/>
        </w:rPr>
        <w:t>The access scheme protocol for data uplink via satellite will be carefully designed to take into account multiple self-organized networks within the satellite field of view and to maximize the probability of message detections by avoiding message collisions or devising methods to resolve the collisions.</w:t>
      </w:r>
    </w:p>
    <w:p w:rsidR="00AA7462" w:rsidRPr="005F4502" w:rsidRDefault="00AA7462" w:rsidP="00704619">
      <w:pPr>
        <w:tabs>
          <w:tab w:val="clear" w:pos="794"/>
          <w:tab w:val="clear" w:pos="1191"/>
          <w:tab w:val="clear" w:pos="1588"/>
          <w:tab w:val="clear" w:pos="1985"/>
          <w:tab w:val="left" w:pos="1134"/>
          <w:tab w:val="left" w:pos="1871"/>
          <w:tab w:val="left" w:pos="2268"/>
        </w:tabs>
        <w:rPr>
          <w:lang w:val="en-US"/>
        </w:rPr>
      </w:pPr>
      <w:r w:rsidRPr="005F4502">
        <w:rPr>
          <w:lang w:val="en-US"/>
        </w:rPr>
        <w:t>To avoid any coordination with terrestrial services, the satellite data uplink will only be used out of VDES coastal coverage.</w:t>
      </w:r>
    </w:p>
    <w:p w:rsidR="00AA7462" w:rsidRPr="005F4502" w:rsidRDefault="00AA7462" w:rsidP="00704619">
      <w:pPr>
        <w:tabs>
          <w:tab w:val="clear" w:pos="794"/>
          <w:tab w:val="clear" w:pos="1191"/>
          <w:tab w:val="clear" w:pos="1588"/>
          <w:tab w:val="clear" w:pos="1985"/>
          <w:tab w:val="left" w:pos="1134"/>
          <w:tab w:val="left" w:pos="1871"/>
          <w:tab w:val="left" w:pos="2268"/>
        </w:tabs>
        <w:rPr>
          <w:lang w:val="en-US"/>
        </w:rPr>
      </w:pPr>
      <w:r w:rsidRPr="005F4502">
        <w:rPr>
          <w:lang w:val="en-US"/>
        </w:rPr>
        <w:t>Similar to satellite based reception of AIS1 and AIS2 channels, the ship-borne data on channels 2027 and 2028 can be detected by satellite purely in a reception mode (without satellite component making any intervention in SOTDMA network organization). A detection performance similar or improved compared to the current SAT-AIS is expected.</w:t>
      </w:r>
    </w:p>
    <w:p w:rsidR="00AA7462" w:rsidRPr="005F4502" w:rsidRDefault="00AA7462" w:rsidP="00704619">
      <w:pPr>
        <w:keepNext/>
        <w:tabs>
          <w:tab w:val="clear" w:pos="794"/>
          <w:tab w:val="clear" w:pos="1191"/>
          <w:tab w:val="clear" w:pos="1588"/>
          <w:tab w:val="clear" w:pos="1985"/>
          <w:tab w:val="left" w:pos="1134"/>
          <w:tab w:val="left" w:pos="1871"/>
          <w:tab w:val="left" w:pos="2268"/>
        </w:tabs>
        <w:spacing w:before="160"/>
        <w:jc w:val="left"/>
        <w:rPr>
          <w:rFonts w:ascii="Times" w:hAnsi="Times"/>
          <w:b/>
          <w:lang w:val="en-US"/>
        </w:rPr>
      </w:pPr>
      <w:r w:rsidRPr="005F4502">
        <w:rPr>
          <w:rFonts w:ascii="Times" w:hAnsi="Times"/>
          <w:b/>
          <w:lang w:val="en-US"/>
        </w:rPr>
        <w:t>Rationale of channel allocation for VDE-SAT</w:t>
      </w:r>
    </w:p>
    <w:p w:rsidR="00AA7462" w:rsidRPr="005F4502" w:rsidRDefault="00AA7462" w:rsidP="00704619">
      <w:pPr>
        <w:tabs>
          <w:tab w:val="clear" w:pos="794"/>
          <w:tab w:val="clear" w:pos="1191"/>
          <w:tab w:val="clear" w:pos="1588"/>
          <w:tab w:val="clear" w:pos="1985"/>
          <w:tab w:val="left" w:pos="1134"/>
          <w:tab w:val="left" w:pos="1871"/>
          <w:tab w:val="left" w:pos="2268"/>
        </w:tabs>
        <w:rPr>
          <w:lang w:val="en-US"/>
        </w:rPr>
      </w:pPr>
      <w:r w:rsidRPr="005F4502">
        <w:rPr>
          <w:lang w:val="en-US"/>
        </w:rPr>
        <w:t xml:space="preserve">The </w:t>
      </w:r>
      <w:r>
        <w:rPr>
          <w:lang w:val="en-GB"/>
        </w:rPr>
        <w:t>frequency plan for the entire VDES, as depicted in Figure 3 above, facilitates a realistic implementation of the proposed system in co-existence with and complementing the current AIS. The</w:t>
      </w:r>
      <w:r w:rsidRPr="005F4502">
        <w:rPr>
          <w:lang w:val="en-US"/>
        </w:rPr>
        <w:t xml:space="preserve"> following points regarding the proposed frequency plan should be highlighted:</w:t>
      </w:r>
    </w:p>
    <w:p w:rsidR="00AA7462" w:rsidRPr="005F4502" w:rsidRDefault="00AA7462" w:rsidP="00704619">
      <w:pPr>
        <w:numPr>
          <w:ilvl w:val="0"/>
          <w:numId w:val="6"/>
        </w:numPr>
        <w:tabs>
          <w:tab w:val="clear" w:pos="794"/>
          <w:tab w:val="clear" w:pos="1191"/>
          <w:tab w:val="clear" w:pos="1588"/>
          <w:tab w:val="clear" w:pos="1985"/>
          <w:tab w:val="left" w:pos="1134"/>
          <w:tab w:val="left" w:pos="1871"/>
          <w:tab w:val="left" w:pos="2268"/>
        </w:tabs>
        <w:overflowPunct/>
        <w:autoSpaceDE/>
        <w:adjustRightInd/>
        <w:ind w:left="1134" w:hanging="1134"/>
        <w:textAlignment w:val="auto"/>
        <w:rPr>
          <w:szCs w:val="24"/>
          <w:lang w:val="en-US"/>
        </w:rPr>
      </w:pPr>
      <w:r w:rsidRPr="005F4502">
        <w:rPr>
          <w:szCs w:val="24"/>
          <w:lang w:val="en-US"/>
        </w:rPr>
        <w:t>The requirements for VDES (together with the existing AIS) concentrate the reception frequencies on board of the ship to a limited range of 250 kHz at the upper maritime VHF band. This will allow an efficient implementation of VDES/AIS on-board receivers by narrowing the input filter bandwidth, reducing potential impairments due to other activities within the maritime VHF band.</w:t>
      </w:r>
    </w:p>
    <w:p w:rsidR="00AA7462" w:rsidRPr="005F4502" w:rsidRDefault="00AA7462" w:rsidP="00704619">
      <w:pPr>
        <w:numPr>
          <w:ilvl w:val="0"/>
          <w:numId w:val="6"/>
        </w:numPr>
        <w:tabs>
          <w:tab w:val="clear" w:pos="794"/>
          <w:tab w:val="clear" w:pos="1191"/>
          <w:tab w:val="clear" w:pos="1588"/>
          <w:tab w:val="clear" w:pos="1985"/>
          <w:tab w:val="left" w:pos="1134"/>
          <w:tab w:val="left" w:pos="1871"/>
          <w:tab w:val="left" w:pos="2268"/>
        </w:tabs>
        <w:overflowPunct/>
        <w:autoSpaceDE/>
        <w:adjustRightInd/>
        <w:ind w:left="1134" w:hanging="1134"/>
        <w:textAlignment w:val="auto"/>
        <w:rPr>
          <w:szCs w:val="24"/>
          <w:lang w:val="en-US"/>
        </w:rPr>
      </w:pPr>
      <w:r w:rsidRPr="005F4502">
        <w:rPr>
          <w:szCs w:val="24"/>
          <w:lang w:val="en-US"/>
        </w:rPr>
        <w:t>The VDE-SAT downlink will be hosted within the same frequency range as the terrestrial VDE and AIS. This allows sharing the same antenna as well as the receiver front-end design.</w:t>
      </w:r>
    </w:p>
    <w:p w:rsidR="00AA7462" w:rsidRPr="005F4502" w:rsidRDefault="00AA7462" w:rsidP="00704619">
      <w:pPr>
        <w:numPr>
          <w:ilvl w:val="0"/>
          <w:numId w:val="6"/>
        </w:numPr>
        <w:tabs>
          <w:tab w:val="clear" w:pos="794"/>
          <w:tab w:val="clear" w:pos="1191"/>
          <w:tab w:val="clear" w:pos="1588"/>
          <w:tab w:val="clear" w:pos="1985"/>
          <w:tab w:val="left" w:pos="1134"/>
          <w:tab w:val="left" w:pos="1871"/>
          <w:tab w:val="left" w:pos="2268"/>
        </w:tabs>
        <w:overflowPunct/>
        <w:autoSpaceDE/>
        <w:adjustRightInd/>
        <w:ind w:left="1134" w:hanging="1134"/>
        <w:textAlignment w:val="auto"/>
        <w:rPr>
          <w:szCs w:val="24"/>
          <w:lang w:val="en-US"/>
        </w:rPr>
      </w:pPr>
      <w:r w:rsidRPr="005F4502">
        <w:rPr>
          <w:szCs w:val="24"/>
          <w:lang w:val="en-US"/>
        </w:rPr>
        <w:t>Satellite and shore reception frequencies of ship-born VDE signals occupy the lower end of the VHF maritime band. This will allow for a complementary service close to the shore and at the high sea while sharing the same spectrum. The frequency separation between the upper and lower spectra (with 4.45 MHz separation) will allow acceptable level of isolation between VDES/AIS receiving chain and the VDE ship-borne transmitters.</w:t>
      </w:r>
    </w:p>
    <w:p w:rsidR="00AA7462" w:rsidRPr="005F4502" w:rsidRDefault="00AA7462" w:rsidP="00704619">
      <w:pPr>
        <w:numPr>
          <w:ilvl w:val="0"/>
          <w:numId w:val="6"/>
        </w:numPr>
        <w:tabs>
          <w:tab w:val="clear" w:pos="794"/>
          <w:tab w:val="clear" w:pos="1191"/>
          <w:tab w:val="clear" w:pos="1588"/>
          <w:tab w:val="clear" w:pos="1985"/>
          <w:tab w:val="left" w:pos="1134"/>
          <w:tab w:val="left" w:pos="1871"/>
          <w:tab w:val="left" w:pos="2268"/>
        </w:tabs>
        <w:overflowPunct/>
        <w:autoSpaceDE/>
        <w:adjustRightInd/>
        <w:ind w:left="1134" w:hanging="1134"/>
        <w:textAlignment w:val="auto"/>
        <w:rPr>
          <w:szCs w:val="24"/>
          <w:lang w:val="en-US"/>
        </w:rPr>
      </w:pPr>
      <w:r w:rsidRPr="005F4502">
        <w:rPr>
          <w:szCs w:val="24"/>
          <w:lang w:val="en-US"/>
        </w:rPr>
        <w:t>The frequency separation between SAT1/SAT2 and SAT3 will allow hosting VDE-SAT transmitter and receiver on the same satellite which allows for a more cost-effective satellite mission concepts (i.e. reduce number of satellites, improved efficiency and possible interactivity).</w:t>
      </w:r>
    </w:p>
    <w:p w:rsidR="00AA7462" w:rsidRPr="005F4502" w:rsidRDefault="00AA7462" w:rsidP="00704619">
      <w:pPr>
        <w:tabs>
          <w:tab w:val="clear" w:pos="794"/>
          <w:tab w:val="clear" w:pos="1191"/>
          <w:tab w:val="clear" w:pos="1588"/>
          <w:tab w:val="clear" w:pos="1985"/>
          <w:tab w:val="left" w:pos="1134"/>
          <w:tab w:val="left" w:pos="1871"/>
          <w:tab w:val="left" w:pos="2268"/>
        </w:tabs>
        <w:overflowPunct/>
        <w:autoSpaceDE/>
        <w:adjustRightInd/>
        <w:ind w:left="1134"/>
        <w:rPr>
          <w:szCs w:val="24"/>
          <w:highlight w:val="yellow"/>
          <w:lang w:val="en-US"/>
        </w:rPr>
      </w:pPr>
    </w:p>
    <w:p w:rsidR="00AA7462" w:rsidRDefault="00AA7462">
      <w:pPr>
        <w:tabs>
          <w:tab w:val="clear" w:pos="794"/>
          <w:tab w:val="clear" w:pos="1191"/>
          <w:tab w:val="clear" w:pos="1588"/>
          <w:tab w:val="clear" w:pos="1985"/>
        </w:tabs>
        <w:overflowPunct/>
        <w:autoSpaceDE/>
        <w:autoSpaceDN/>
        <w:adjustRightInd/>
        <w:spacing w:before="0"/>
        <w:jc w:val="left"/>
        <w:textAlignment w:val="auto"/>
        <w:rPr>
          <w:lang w:val="en-US"/>
        </w:rPr>
      </w:pPr>
    </w:p>
    <w:p w:rsidR="00AA7462" w:rsidRDefault="00AA7462">
      <w:pPr>
        <w:tabs>
          <w:tab w:val="clear" w:pos="794"/>
          <w:tab w:val="clear" w:pos="1191"/>
          <w:tab w:val="clear" w:pos="1588"/>
          <w:tab w:val="clear" w:pos="1985"/>
        </w:tabs>
        <w:overflowPunct/>
        <w:autoSpaceDE/>
        <w:autoSpaceDN/>
        <w:adjustRightInd/>
        <w:spacing w:before="0"/>
        <w:jc w:val="left"/>
        <w:textAlignment w:val="auto"/>
        <w:rPr>
          <w:b/>
          <w:sz w:val="28"/>
          <w:lang w:val="en-US"/>
        </w:rPr>
      </w:pPr>
      <w:r>
        <w:rPr>
          <w:lang w:val="en-US"/>
        </w:rPr>
        <w:br w:type="page"/>
      </w:r>
    </w:p>
    <w:p w:rsidR="00AA7462" w:rsidRPr="00CF3447" w:rsidRDefault="00AA7462" w:rsidP="00B20213">
      <w:pPr>
        <w:pStyle w:val="AnnexNoTitle"/>
        <w:rPr>
          <w:lang w:val="en-US"/>
        </w:rPr>
      </w:pPr>
      <w:r w:rsidRPr="00CF3447">
        <w:rPr>
          <w:lang w:val="en-US"/>
        </w:rPr>
        <w:lastRenderedPageBreak/>
        <w:t xml:space="preserve">Annex </w:t>
      </w:r>
      <w:r>
        <w:rPr>
          <w:lang w:val="en-US"/>
        </w:rPr>
        <w:t>3</w:t>
      </w:r>
      <w:r>
        <w:rPr>
          <w:lang w:val="en-US"/>
        </w:rPr>
        <w:br/>
      </w:r>
      <w:r w:rsidRPr="00CF3447">
        <w:rPr>
          <w:bCs/>
          <w:lang w:val="en-US"/>
        </w:rPr>
        <w:br/>
      </w:r>
      <w:r w:rsidRPr="00CF3447">
        <w:rPr>
          <w:lang w:val="en-US"/>
        </w:rPr>
        <w:t>Abbreviations in</w:t>
      </w:r>
      <w:r>
        <w:rPr>
          <w:lang w:val="en-US"/>
        </w:rPr>
        <w:t xml:space="preserve"> use in this Recommendation </w:t>
      </w:r>
      <w:r>
        <w:rPr>
          <w:lang w:val="en-US"/>
        </w:rPr>
        <w:br/>
      </w:r>
    </w:p>
    <w:p w:rsidR="00AA7462" w:rsidRDefault="00AA7462" w:rsidP="000253A4">
      <w:pPr>
        <w:rPr>
          <w:lang w:val="en-US"/>
        </w:rPr>
      </w:pPr>
    </w:p>
    <w:p w:rsidR="00AA7462" w:rsidRDefault="00AA7462" w:rsidP="000253A4">
      <w:pPr>
        <w:tabs>
          <w:tab w:val="clear" w:pos="794"/>
          <w:tab w:val="clear" w:pos="1191"/>
          <w:tab w:val="clear" w:pos="1588"/>
          <w:tab w:val="clear" w:pos="1985"/>
          <w:tab w:val="left" w:pos="1559"/>
        </w:tabs>
        <w:rPr>
          <w:lang w:val="en-US"/>
        </w:rPr>
      </w:pPr>
      <w:r w:rsidRPr="00CF3447">
        <w:rPr>
          <w:lang w:val="en-US"/>
        </w:rPr>
        <w:t>AIS</w:t>
      </w:r>
      <w:r w:rsidRPr="00CF3447">
        <w:rPr>
          <w:lang w:val="en-US"/>
        </w:rPr>
        <w:tab/>
        <w:t>Automatic identification system</w:t>
      </w:r>
    </w:p>
    <w:p w:rsidR="00AA7462" w:rsidRDefault="00AA7462" w:rsidP="00E87CBC">
      <w:pPr>
        <w:rPr>
          <w:lang w:val="en-US"/>
        </w:rPr>
      </w:pPr>
    </w:p>
    <w:p w:rsidR="00AA7462" w:rsidRDefault="00AA7462" w:rsidP="00E87CBC">
      <w:pPr>
        <w:rPr>
          <w:lang w:val="en-US"/>
        </w:rPr>
      </w:pPr>
    </w:p>
    <w:p w:rsidR="00AA7462" w:rsidRPr="00BF487A" w:rsidRDefault="00AA7462" w:rsidP="00E87CBC">
      <w:pPr>
        <w:pStyle w:val="Line"/>
      </w:pPr>
    </w:p>
    <w:sectPr w:rsidR="00AA7462" w:rsidRPr="00BF487A" w:rsidSect="005E6585">
      <w:headerReference w:type="even" r:id="rId13"/>
      <w:headerReference w:type="default" r:id="rId14"/>
      <w:footerReference w:type="default" r:id="rId15"/>
      <w:pgSz w:w="11907" w:h="16834" w:code="9"/>
      <w:pgMar w:top="1418" w:right="1134" w:bottom="1134" w:left="1134" w:header="720" w:footer="482" w:gutter="0"/>
      <w:pgNumType w:start="1"/>
      <w:cols w:space="720"/>
      <w:titlePg/>
      <w:rtlGutter/>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56F65" w:rsidRDefault="00056F65">
      <w:r>
        <w:separator/>
      </w:r>
    </w:p>
  </w:endnote>
  <w:endnote w:type="continuationSeparator" w:id="0">
    <w:p w:rsidR="00056F65" w:rsidRDefault="00056F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Times New Roman Bold">
    <w:panose1 w:val="02020803070505020304"/>
    <w:charset w:val="00"/>
    <w:family w:val="auto"/>
    <w:pitch w:val="variable"/>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20002A87" w:usb1="80000000" w:usb2="00000008" w:usb3="00000000" w:csb0="000001F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Times">
    <w:panose1 w:val="02020603050405020304"/>
    <w:charset w:val="00"/>
    <w:family w:val="roman"/>
    <w:pitch w:val="variable"/>
    <w:sig w:usb0="20002A87" w:usb1="80000000" w:usb2="00000008"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7462" w:rsidRDefault="00421A77">
    <w:pPr>
      <w:pStyle w:val="Footer"/>
      <w:jc w:val="right"/>
    </w:pPr>
    <w:r>
      <w:fldChar w:fldCharType="begin"/>
    </w:r>
    <w:r>
      <w:instrText xml:space="preserve"> PAGE   \* MERGEFORMAT </w:instrText>
    </w:r>
    <w:r>
      <w:fldChar w:fldCharType="separate"/>
    </w:r>
    <w:r w:rsidR="00B31B89">
      <w:t>11</w:t>
    </w:r>
    <w:r>
      <w:fldChar w:fldCharType="end"/>
    </w:r>
  </w:p>
  <w:p w:rsidR="00AA7462" w:rsidRDefault="00AA746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56F65" w:rsidRDefault="00056F65">
      <w:r>
        <w:separator/>
      </w:r>
    </w:p>
  </w:footnote>
  <w:footnote w:type="continuationSeparator" w:id="0">
    <w:p w:rsidR="00056F65" w:rsidRDefault="00056F65">
      <w:r>
        <w:continuationSeparator/>
      </w:r>
    </w:p>
  </w:footnote>
  <w:footnote w:id="1">
    <w:p w:rsidR="00AA7462" w:rsidRDefault="00AA7462">
      <w:pPr>
        <w:pStyle w:val="FootnoteText"/>
      </w:pPr>
      <w:r w:rsidRPr="00C845FE">
        <w:rPr>
          <w:rStyle w:val="FootnoteReference"/>
          <w:lang w:val="en-US"/>
        </w:rPr>
        <w:t>*</w:t>
      </w:r>
      <w:r w:rsidRPr="00C845FE">
        <w:rPr>
          <w:lang w:val="en-US"/>
        </w:rPr>
        <w:tab/>
      </w:r>
      <w:r w:rsidRPr="001D3AC5">
        <w:rPr>
          <w:lang w:val="en-US"/>
        </w:rPr>
        <w:t xml:space="preserve">This Recommendation should be brought to the attention of the International Maritime Organization (IMO), the International Civil Aviation Organization (ICAO), the International Association of Marine Aids to Navigation and Lighthouse Authorities (IALA), the International </w:t>
      </w:r>
      <w:proofErr w:type="spellStart"/>
      <w:r w:rsidRPr="001D3AC5">
        <w:rPr>
          <w:lang w:val="en-US"/>
        </w:rPr>
        <w:t>Electrotechnical</w:t>
      </w:r>
      <w:proofErr w:type="spellEnd"/>
      <w:r w:rsidRPr="001D3AC5">
        <w:rPr>
          <w:lang w:val="en-US"/>
        </w:rPr>
        <w:t xml:space="preserve"> Commission (IEC) and the </w:t>
      </w:r>
      <w:proofErr w:type="spellStart"/>
      <w:r w:rsidRPr="001D3AC5">
        <w:rPr>
          <w:lang w:val="en-US"/>
        </w:rPr>
        <w:t>Comité</w:t>
      </w:r>
      <w:proofErr w:type="spellEnd"/>
      <w:r w:rsidRPr="001D3AC5">
        <w:rPr>
          <w:lang w:val="en-US"/>
        </w:rPr>
        <w:t xml:space="preserve"> International Radio Maritime (CIRM).</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7462" w:rsidRPr="00FC42AF" w:rsidRDefault="00AA7462">
    <w:pPr>
      <w:pStyle w:val="Header"/>
      <w:jc w:val="left"/>
    </w:pPr>
    <w:r w:rsidRPr="00FC42AF">
      <w:rPr>
        <w:rStyle w:val="PageNumber"/>
        <w:b/>
        <w:bCs/>
      </w:rPr>
      <w:fldChar w:fldCharType="begin"/>
    </w:r>
    <w:r w:rsidRPr="00FC42AF">
      <w:rPr>
        <w:rStyle w:val="PageNumber"/>
        <w:b/>
        <w:bCs/>
      </w:rPr>
      <w:instrText xml:space="preserve"> PAGE </w:instrText>
    </w:r>
    <w:r w:rsidRPr="00FC42AF">
      <w:rPr>
        <w:rStyle w:val="PageNumber"/>
        <w:b/>
        <w:bCs/>
      </w:rPr>
      <w:fldChar w:fldCharType="separate"/>
    </w:r>
    <w:r>
      <w:rPr>
        <w:rStyle w:val="PageNumber"/>
        <w:b/>
        <w:bCs/>
        <w:noProof/>
      </w:rPr>
      <w:t>2</w:t>
    </w:r>
    <w:r w:rsidRPr="00FC42AF">
      <w:rPr>
        <w:rStyle w:val="PageNumber"/>
        <w:b/>
        <w:bCs/>
      </w:rPr>
      <w:fldChar w:fldCharType="end"/>
    </w:r>
    <w:r w:rsidRPr="00FC42AF">
      <w:tab/>
    </w:r>
    <w:fldSimple w:instr=" DOCPROPERTY &quot;Header&quot; \* MERGEFORMAT ">
      <w:r w:rsidRPr="00BD7C8E">
        <w:rPr>
          <w:b/>
          <w:bCs/>
        </w:rPr>
        <w:t xml:space="preserve">Rec. </w:t>
      </w:r>
    </w:fldSimple>
    <w:r>
      <w:rPr>
        <w:b/>
        <w:bCs/>
      </w:rPr>
      <w:t xml:space="preserve"> </w:t>
    </w:r>
    <w:r w:rsidRPr="00FC42AF">
      <w:rPr>
        <w:b/>
        <w:bCs/>
      </w:rPr>
      <w:fldChar w:fldCharType="begin"/>
    </w:r>
    <w:r w:rsidRPr="00FC42AF">
      <w:rPr>
        <w:b/>
        <w:bCs/>
      </w:rPr>
      <w:instrText>styleref href</w:instrText>
    </w:r>
    <w:r w:rsidRPr="00FC42AF">
      <w:rPr>
        <w:b/>
        <w:bCs/>
      </w:rPr>
      <w:fldChar w:fldCharType="separate"/>
    </w:r>
    <w:r>
      <w:rPr>
        <w:b/>
        <w:bCs/>
        <w:noProof/>
      </w:rPr>
      <w:t>ITU-R  M.[VDES]</w:t>
    </w:r>
    <w:r w:rsidRPr="00FC42AF">
      <w:rPr>
        <w:b/>
        <w:bCs/>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7462" w:rsidRPr="002C668E" w:rsidRDefault="00AA7462">
    <w:pPr>
      <w:pStyle w:val="Header"/>
      <w:rPr>
        <w:b/>
      </w:rPr>
    </w:pPr>
    <w:r w:rsidRPr="00EF7850">
      <w:rPr>
        <w:b/>
        <w:lang w:val="en-US"/>
      </w:rPr>
      <w:t xml:space="preserve">WD Toward Preliminary Draft New Rec. </w:t>
    </w:r>
    <w:r w:rsidRPr="002C668E">
      <w:rPr>
        <w:b/>
      </w:rPr>
      <w:t>ITU-R M</w:t>
    </w:r>
    <w:proofErr w:type="gramStart"/>
    <w:r w:rsidRPr="002C668E">
      <w:rPr>
        <w:b/>
      </w:rPr>
      <w:t>.[</w:t>
    </w:r>
    <w:proofErr w:type="gramEnd"/>
    <w:r w:rsidRPr="002C668E">
      <w:rPr>
        <w:b/>
      </w:rPr>
      <w:t>VDES]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8B0DC9"/>
    <w:multiLevelType w:val="hybridMultilevel"/>
    <w:tmpl w:val="DAB011CA"/>
    <w:lvl w:ilvl="0" w:tplc="92D8F51C">
      <w:start w:val="1"/>
      <w:numFmt w:val="decimal"/>
      <w:lvlText w:val="(%1)"/>
      <w:lvlJc w:val="left"/>
      <w:pPr>
        <w:tabs>
          <w:tab w:val="num" w:pos="431"/>
        </w:tabs>
        <w:ind w:left="431" w:hanging="516"/>
      </w:pPr>
      <w:rPr>
        <w:rFonts w:cs="Times New Roman" w:hint="default"/>
        <w:sz w:val="14"/>
      </w:rPr>
    </w:lvl>
    <w:lvl w:ilvl="1" w:tplc="04090019" w:tentative="1">
      <w:start w:val="1"/>
      <w:numFmt w:val="lowerLetter"/>
      <w:lvlText w:val="%2."/>
      <w:lvlJc w:val="left"/>
      <w:pPr>
        <w:tabs>
          <w:tab w:val="num" w:pos="995"/>
        </w:tabs>
        <w:ind w:left="995" w:hanging="360"/>
      </w:pPr>
      <w:rPr>
        <w:rFonts w:cs="Times New Roman"/>
      </w:rPr>
    </w:lvl>
    <w:lvl w:ilvl="2" w:tplc="0409001B" w:tentative="1">
      <w:start w:val="1"/>
      <w:numFmt w:val="lowerRoman"/>
      <w:lvlText w:val="%3."/>
      <w:lvlJc w:val="right"/>
      <w:pPr>
        <w:tabs>
          <w:tab w:val="num" w:pos="1715"/>
        </w:tabs>
        <w:ind w:left="1715" w:hanging="180"/>
      </w:pPr>
      <w:rPr>
        <w:rFonts w:cs="Times New Roman"/>
      </w:rPr>
    </w:lvl>
    <w:lvl w:ilvl="3" w:tplc="0409000F" w:tentative="1">
      <w:start w:val="1"/>
      <w:numFmt w:val="decimal"/>
      <w:lvlText w:val="%4."/>
      <w:lvlJc w:val="left"/>
      <w:pPr>
        <w:tabs>
          <w:tab w:val="num" w:pos="2435"/>
        </w:tabs>
        <w:ind w:left="2435" w:hanging="360"/>
      </w:pPr>
      <w:rPr>
        <w:rFonts w:cs="Times New Roman"/>
      </w:rPr>
    </w:lvl>
    <w:lvl w:ilvl="4" w:tplc="04090019" w:tentative="1">
      <w:start w:val="1"/>
      <w:numFmt w:val="lowerLetter"/>
      <w:lvlText w:val="%5."/>
      <w:lvlJc w:val="left"/>
      <w:pPr>
        <w:tabs>
          <w:tab w:val="num" w:pos="3155"/>
        </w:tabs>
        <w:ind w:left="3155" w:hanging="360"/>
      </w:pPr>
      <w:rPr>
        <w:rFonts w:cs="Times New Roman"/>
      </w:rPr>
    </w:lvl>
    <w:lvl w:ilvl="5" w:tplc="0409001B" w:tentative="1">
      <w:start w:val="1"/>
      <w:numFmt w:val="lowerRoman"/>
      <w:lvlText w:val="%6."/>
      <w:lvlJc w:val="right"/>
      <w:pPr>
        <w:tabs>
          <w:tab w:val="num" w:pos="3875"/>
        </w:tabs>
        <w:ind w:left="3875" w:hanging="180"/>
      </w:pPr>
      <w:rPr>
        <w:rFonts w:cs="Times New Roman"/>
      </w:rPr>
    </w:lvl>
    <w:lvl w:ilvl="6" w:tplc="0409000F" w:tentative="1">
      <w:start w:val="1"/>
      <w:numFmt w:val="decimal"/>
      <w:lvlText w:val="%7."/>
      <w:lvlJc w:val="left"/>
      <w:pPr>
        <w:tabs>
          <w:tab w:val="num" w:pos="4595"/>
        </w:tabs>
        <w:ind w:left="4595" w:hanging="360"/>
      </w:pPr>
      <w:rPr>
        <w:rFonts w:cs="Times New Roman"/>
      </w:rPr>
    </w:lvl>
    <w:lvl w:ilvl="7" w:tplc="04090019" w:tentative="1">
      <w:start w:val="1"/>
      <w:numFmt w:val="lowerLetter"/>
      <w:lvlText w:val="%8."/>
      <w:lvlJc w:val="left"/>
      <w:pPr>
        <w:tabs>
          <w:tab w:val="num" w:pos="5315"/>
        </w:tabs>
        <w:ind w:left="5315" w:hanging="360"/>
      </w:pPr>
      <w:rPr>
        <w:rFonts w:cs="Times New Roman"/>
      </w:rPr>
    </w:lvl>
    <w:lvl w:ilvl="8" w:tplc="0409001B" w:tentative="1">
      <w:start w:val="1"/>
      <w:numFmt w:val="lowerRoman"/>
      <w:lvlText w:val="%9."/>
      <w:lvlJc w:val="right"/>
      <w:pPr>
        <w:tabs>
          <w:tab w:val="num" w:pos="6035"/>
        </w:tabs>
        <w:ind w:left="6035" w:hanging="180"/>
      </w:pPr>
      <w:rPr>
        <w:rFonts w:cs="Times New Roman"/>
      </w:rPr>
    </w:lvl>
  </w:abstractNum>
  <w:abstractNum w:abstractNumId="1">
    <w:nsid w:val="3A2A180B"/>
    <w:multiLevelType w:val="hybridMultilevel"/>
    <w:tmpl w:val="A19C50FA"/>
    <w:lvl w:ilvl="0" w:tplc="53F6807C">
      <w:start w:val="1"/>
      <w:numFmt w:val="lowerLetter"/>
      <w:lvlText w:val="%1)"/>
      <w:lvlJc w:val="left"/>
      <w:pPr>
        <w:ind w:left="360" w:hanging="360"/>
      </w:pPr>
      <w:rPr>
        <w:rFonts w:cs="Times New Roman"/>
        <w:b/>
      </w:rPr>
    </w:lvl>
    <w:lvl w:ilvl="1" w:tplc="08090019">
      <w:start w:val="1"/>
      <w:numFmt w:val="lowerLetter"/>
      <w:lvlText w:val="%2."/>
      <w:lvlJc w:val="left"/>
      <w:pPr>
        <w:ind w:left="1080" w:hanging="360"/>
      </w:pPr>
      <w:rPr>
        <w:rFonts w:cs="Times New Roman"/>
      </w:rPr>
    </w:lvl>
    <w:lvl w:ilvl="2" w:tplc="0809001B">
      <w:start w:val="1"/>
      <w:numFmt w:val="lowerRoman"/>
      <w:lvlText w:val="%3."/>
      <w:lvlJc w:val="right"/>
      <w:pPr>
        <w:ind w:left="1800" w:hanging="180"/>
      </w:pPr>
      <w:rPr>
        <w:rFonts w:cs="Times New Roman"/>
      </w:rPr>
    </w:lvl>
    <w:lvl w:ilvl="3" w:tplc="0809000F">
      <w:start w:val="1"/>
      <w:numFmt w:val="decimal"/>
      <w:lvlText w:val="%4."/>
      <w:lvlJc w:val="left"/>
      <w:pPr>
        <w:ind w:left="2520" w:hanging="360"/>
      </w:pPr>
      <w:rPr>
        <w:rFonts w:cs="Times New Roman"/>
      </w:rPr>
    </w:lvl>
    <w:lvl w:ilvl="4" w:tplc="08090019">
      <w:start w:val="1"/>
      <w:numFmt w:val="lowerLetter"/>
      <w:lvlText w:val="%5."/>
      <w:lvlJc w:val="left"/>
      <w:pPr>
        <w:ind w:left="3240" w:hanging="360"/>
      </w:pPr>
      <w:rPr>
        <w:rFonts w:cs="Times New Roman"/>
      </w:rPr>
    </w:lvl>
    <w:lvl w:ilvl="5" w:tplc="0809001B">
      <w:start w:val="1"/>
      <w:numFmt w:val="lowerRoman"/>
      <w:lvlText w:val="%6."/>
      <w:lvlJc w:val="right"/>
      <w:pPr>
        <w:ind w:left="3960" w:hanging="180"/>
      </w:pPr>
      <w:rPr>
        <w:rFonts w:cs="Times New Roman"/>
      </w:rPr>
    </w:lvl>
    <w:lvl w:ilvl="6" w:tplc="0809000F">
      <w:start w:val="1"/>
      <w:numFmt w:val="decimal"/>
      <w:lvlText w:val="%7."/>
      <w:lvlJc w:val="left"/>
      <w:pPr>
        <w:ind w:left="4680" w:hanging="360"/>
      </w:pPr>
      <w:rPr>
        <w:rFonts w:cs="Times New Roman"/>
      </w:rPr>
    </w:lvl>
    <w:lvl w:ilvl="7" w:tplc="08090019">
      <w:start w:val="1"/>
      <w:numFmt w:val="lowerLetter"/>
      <w:lvlText w:val="%8."/>
      <w:lvlJc w:val="left"/>
      <w:pPr>
        <w:ind w:left="5400" w:hanging="360"/>
      </w:pPr>
      <w:rPr>
        <w:rFonts w:cs="Times New Roman"/>
      </w:rPr>
    </w:lvl>
    <w:lvl w:ilvl="8" w:tplc="0809001B">
      <w:start w:val="1"/>
      <w:numFmt w:val="lowerRoman"/>
      <w:lvlText w:val="%9."/>
      <w:lvlJc w:val="right"/>
      <w:pPr>
        <w:ind w:left="6120" w:hanging="180"/>
      </w:pPr>
      <w:rPr>
        <w:rFonts w:cs="Times New Roman"/>
      </w:rPr>
    </w:lvl>
  </w:abstractNum>
  <w:abstractNum w:abstractNumId="2">
    <w:nsid w:val="4B165905"/>
    <w:multiLevelType w:val="multilevel"/>
    <w:tmpl w:val="B32891BA"/>
    <w:lvl w:ilvl="0">
      <w:start w:val="3"/>
      <w:numFmt w:val="decimal"/>
      <w:lvlText w:val="%1"/>
      <w:lvlJc w:val="left"/>
      <w:pPr>
        <w:tabs>
          <w:tab w:val="num" w:pos="855"/>
        </w:tabs>
        <w:ind w:left="855" w:hanging="855"/>
      </w:pPr>
      <w:rPr>
        <w:rFonts w:cs="Times New Roman" w:hint="default"/>
      </w:rPr>
    </w:lvl>
    <w:lvl w:ilvl="1">
      <w:start w:val="1"/>
      <w:numFmt w:val="decimal"/>
      <w:lvlText w:val="%1.%2"/>
      <w:lvlJc w:val="left"/>
      <w:pPr>
        <w:tabs>
          <w:tab w:val="num" w:pos="855"/>
        </w:tabs>
        <w:ind w:left="855" w:hanging="855"/>
      </w:pPr>
      <w:rPr>
        <w:rFonts w:cs="Times New Roman" w:hint="default"/>
      </w:rPr>
    </w:lvl>
    <w:lvl w:ilvl="2">
      <w:start w:val="3"/>
      <w:numFmt w:val="decimal"/>
      <w:lvlText w:val="%1.%2.%3"/>
      <w:lvlJc w:val="left"/>
      <w:pPr>
        <w:tabs>
          <w:tab w:val="num" w:pos="855"/>
        </w:tabs>
        <w:ind w:left="855" w:hanging="855"/>
      </w:pPr>
      <w:rPr>
        <w:rFonts w:cs="Times New Roman" w:hint="default"/>
      </w:rPr>
    </w:lvl>
    <w:lvl w:ilvl="3">
      <w:start w:val="3"/>
      <w:numFmt w:val="decimal"/>
      <w:lvlText w:val="%1.%2.%3.%4"/>
      <w:lvlJc w:val="left"/>
      <w:pPr>
        <w:tabs>
          <w:tab w:val="num" w:pos="855"/>
        </w:tabs>
        <w:ind w:left="855" w:hanging="855"/>
      </w:pPr>
      <w:rPr>
        <w:rFonts w:cs="Times New Roman" w:hint="default"/>
      </w:rPr>
    </w:lvl>
    <w:lvl w:ilvl="4">
      <w:start w:val="1"/>
      <w:numFmt w:val="decimal"/>
      <w:lvlText w:val="%1.%2.%3.%4.%5"/>
      <w:lvlJc w:val="left"/>
      <w:pPr>
        <w:tabs>
          <w:tab w:val="num" w:pos="855"/>
        </w:tabs>
        <w:ind w:left="855" w:hanging="855"/>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080"/>
        </w:tabs>
        <w:ind w:left="1080" w:hanging="108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3">
    <w:nsid w:val="549E7C43"/>
    <w:multiLevelType w:val="multilevel"/>
    <w:tmpl w:val="E604E21C"/>
    <w:lvl w:ilvl="0">
      <w:start w:val="3"/>
      <w:numFmt w:val="decimal"/>
      <w:lvlText w:val="%1"/>
      <w:lvlJc w:val="left"/>
      <w:pPr>
        <w:tabs>
          <w:tab w:val="num" w:pos="795"/>
        </w:tabs>
        <w:ind w:left="795" w:hanging="795"/>
      </w:pPr>
      <w:rPr>
        <w:rFonts w:cs="Times New Roman" w:hint="default"/>
      </w:rPr>
    </w:lvl>
    <w:lvl w:ilvl="1">
      <w:start w:val="25"/>
      <w:numFmt w:val="decimal"/>
      <w:lvlText w:val="%1.%2"/>
      <w:lvlJc w:val="left"/>
      <w:pPr>
        <w:tabs>
          <w:tab w:val="num" w:pos="795"/>
        </w:tabs>
        <w:ind w:left="795" w:hanging="795"/>
      </w:pPr>
      <w:rPr>
        <w:rFonts w:cs="Times New Roman" w:hint="default"/>
      </w:rPr>
    </w:lvl>
    <w:lvl w:ilvl="2">
      <w:start w:val="1"/>
      <w:numFmt w:val="decimal"/>
      <w:lvlText w:val="%1.%2.%3"/>
      <w:lvlJc w:val="left"/>
      <w:pPr>
        <w:tabs>
          <w:tab w:val="num" w:pos="795"/>
        </w:tabs>
        <w:ind w:left="795" w:hanging="795"/>
      </w:pPr>
      <w:rPr>
        <w:rFonts w:cs="Times New Roman" w:hint="default"/>
      </w:rPr>
    </w:lvl>
    <w:lvl w:ilvl="3">
      <w:start w:val="1"/>
      <w:numFmt w:val="decimal"/>
      <w:lvlText w:val="%1.%2.%3.%4"/>
      <w:lvlJc w:val="left"/>
      <w:pPr>
        <w:tabs>
          <w:tab w:val="num" w:pos="795"/>
        </w:tabs>
        <w:ind w:left="795" w:hanging="795"/>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
    <w:nsid w:val="59DF01B0"/>
    <w:multiLevelType w:val="hybridMultilevel"/>
    <w:tmpl w:val="F7586D1A"/>
    <w:lvl w:ilvl="0" w:tplc="08090011">
      <w:start w:val="1"/>
      <w:numFmt w:val="decimal"/>
      <w:lvlText w:val="%1)"/>
      <w:lvlJc w:val="left"/>
      <w:pPr>
        <w:ind w:left="720" w:hanging="360"/>
      </w:pPr>
      <w:rPr>
        <w:rFonts w:cs="Times New Roman"/>
      </w:rPr>
    </w:lvl>
    <w:lvl w:ilvl="1" w:tplc="08090019">
      <w:start w:val="1"/>
      <w:numFmt w:val="lowerLetter"/>
      <w:lvlText w:val="%2."/>
      <w:lvlJc w:val="left"/>
      <w:pPr>
        <w:ind w:left="1440" w:hanging="360"/>
      </w:pPr>
      <w:rPr>
        <w:rFonts w:cs="Times New Roman"/>
      </w:rPr>
    </w:lvl>
    <w:lvl w:ilvl="2" w:tplc="0809001B">
      <w:start w:val="1"/>
      <w:numFmt w:val="lowerRoman"/>
      <w:lvlText w:val="%3."/>
      <w:lvlJc w:val="right"/>
      <w:pPr>
        <w:ind w:left="2160" w:hanging="180"/>
      </w:pPr>
      <w:rPr>
        <w:rFonts w:cs="Times New Roman"/>
      </w:rPr>
    </w:lvl>
    <w:lvl w:ilvl="3" w:tplc="0809000F">
      <w:start w:val="1"/>
      <w:numFmt w:val="decimal"/>
      <w:lvlText w:val="%4."/>
      <w:lvlJc w:val="left"/>
      <w:pPr>
        <w:ind w:left="2880" w:hanging="360"/>
      </w:pPr>
      <w:rPr>
        <w:rFonts w:cs="Times New Roman"/>
      </w:rPr>
    </w:lvl>
    <w:lvl w:ilvl="4" w:tplc="08090019">
      <w:start w:val="1"/>
      <w:numFmt w:val="lowerLetter"/>
      <w:lvlText w:val="%5."/>
      <w:lvlJc w:val="left"/>
      <w:pPr>
        <w:ind w:left="3600" w:hanging="360"/>
      </w:pPr>
      <w:rPr>
        <w:rFonts w:cs="Times New Roman"/>
      </w:rPr>
    </w:lvl>
    <w:lvl w:ilvl="5" w:tplc="0809001B">
      <w:start w:val="1"/>
      <w:numFmt w:val="lowerRoman"/>
      <w:lvlText w:val="%6."/>
      <w:lvlJc w:val="right"/>
      <w:pPr>
        <w:ind w:left="4320" w:hanging="180"/>
      </w:pPr>
      <w:rPr>
        <w:rFonts w:cs="Times New Roman"/>
      </w:rPr>
    </w:lvl>
    <w:lvl w:ilvl="6" w:tplc="0809000F">
      <w:start w:val="1"/>
      <w:numFmt w:val="decimal"/>
      <w:lvlText w:val="%7."/>
      <w:lvlJc w:val="left"/>
      <w:pPr>
        <w:ind w:left="5040" w:hanging="360"/>
      </w:pPr>
      <w:rPr>
        <w:rFonts w:cs="Times New Roman"/>
      </w:rPr>
    </w:lvl>
    <w:lvl w:ilvl="7" w:tplc="08090019">
      <w:start w:val="1"/>
      <w:numFmt w:val="lowerLetter"/>
      <w:lvlText w:val="%8."/>
      <w:lvlJc w:val="left"/>
      <w:pPr>
        <w:ind w:left="5760" w:hanging="360"/>
      </w:pPr>
      <w:rPr>
        <w:rFonts w:cs="Times New Roman"/>
      </w:rPr>
    </w:lvl>
    <w:lvl w:ilvl="8" w:tplc="0809001B">
      <w:start w:val="1"/>
      <w:numFmt w:val="lowerRoman"/>
      <w:lvlText w:val="%9."/>
      <w:lvlJc w:val="right"/>
      <w:pPr>
        <w:ind w:left="6480" w:hanging="180"/>
      </w:pPr>
      <w:rPr>
        <w:rFonts w:cs="Times New Roman"/>
      </w:rPr>
    </w:lvl>
  </w:abstractNum>
  <w:abstractNum w:abstractNumId="5">
    <w:nsid w:val="760161BA"/>
    <w:multiLevelType w:val="hybridMultilevel"/>
    <w:tmpl w:val="5D842096"/>
    <w:lvl w:ilvl="0" w:tplc="5D587878">
      <w:start w:val="1"/>
      <w:numFmt w:val="decimal"/>
      <w:lvlText w:val="%1"/>
      <w:lvlJc w:val="left"/>
      <w:pPr>
        <w:ind w:left="1155" w:hanging="795"/>
      </w:pPr>
      <w:rPr>
        <w:rFonts w:cs="Times New Roman"/>
      </w:rPr>
    </w:lvl>
    <w:lvl w:ilvl="1" w:tplc="08090019">
      <w:start w:val="1"/>
      <w:numFmt w:val="lowerLetter"/>
      <w:lvlText w:val="%2."/>
      <w:lvlJc w:val="left"/>
      <w:pPr>
        <w:ind w:left="1440" w:hanging="360"/>
      </w:pPr>
      <w:rPr>
        <w:rFonts w:cs="Times New Roman"/>
      </w:rPr>
    </w:lvl>
    <w:lvl w:ilvl="2" w:tplc="0809001B">
      <w:start w:val="1"/>
      <w:numFmt w:val="lowerRoman"/>
      <w:lvlText w:val="%3."/>
      <w:lvlJc w:val="right"/>
      <w:pPr>
        <w:ind w:left="2160" w:hanging="180"/>
      </w:pPr>
      <w:rPr>
        <w:rFonts w:cs="Times New Roman"/>
      </w:rPr>
    </w:lvl>
    <w:lvl w:ilvl="3" w:tplc="0809000F">
      <w:start w:val="1"/>
      <w:numFmt w:val="decimal"/>
      <w:lvlText w:val="%4."/>
      <w:lvlJc w:val="left"/>
      <w:pPr>
        <w:ind w:left="2880" w:hanging="360"/>
      </w:pPr>
      <w:rPr>
        <w:rFonts w:cs="Times New Roman"/>
      </w:rPr>
    </w:lvl>
    <w:lvl w:ilvl="4" w:tplc="08090019">
      <w:start w:val="1"/>
      <w:numFmt w:val="lowerLetter"/>
      <w:lvlText w:val="%5."/>
      <w:lvlJc w:val="left"/>
      <w:pPr>
        <w:ind w:left="3600" w:hanging="360"/>
      </w:pPr>
      <w:rPr>
        <w:rFonts w:cs="Times New Roman"/>
      </w:rPr>
    </w:lvl>
    <w:lvl w:ilvl="5" w:tplc="0809001B">
      <w:start w:val="1"/>
      <w:numFmt w:val="lowerRoman"/>
      <w:lvlText w:val="%6."/>
      <w:lvlJc w:val="right"/>
      <w:pPr>
        <w:ind w:left="4320" w:hanging="180"/>
      </w:pPr>
      <w:rPr>
        <w:rFonts w:cs="Times New Roman"/>
      </w:rPr>
    </w:lvl>
    <w:lvl w:ilvl="6" w:tplc="0809000F">
      <w:start w:val="1"/>
      <w:numFmt w:val="decimal"/>
      <w:lvlText w:val="%7."/>
      <w:lvlJc w:val="left"/>
      <w:pPr>
        <w:ind w:left="5040" w:hanging="360"/>
      </w:pPr>
      <w:rPr>
        <w:rFonts w:cs="Times New Roman"/>
      </w:rPr>
    </w:lvl>
    <w:lvl w:ilvl="7" w:tplc="08090019">
      <w:start w:val="1"/>
      <w:numFmt w:val="lowerLetter"/>
      <w:lvlText w:val="%8."/>
      <w:lvlJc w:val="left"/>
      <w:pPr>
        <w:ind w:left="5760" w:hanging="360"/>
      </w:pPr>
      <w:rPr>
        <w:rFonts w:cs="Times New Roman"/>
      </w:rPr>
    </w:lvl>
    <w:lvl w:ilvl="8" w:tplc="0809001B">
      <w:start w:val="1"/>
      <w:numFmt w:val="lowerRoman"/>
      <w:lvlText w:val="%9."/>
      <w:lvlJc w:val="right"/>
      <w:pPr>
        <w:ind w:left="6480" w:hanging="180"/>
      </w:pPr>
      <w:rPr>
        <w:rFonts w:cs="Times New Roman"/>
      </w:rPr>
    </w:lvl>
  </w:abstractNum>
  <w:num w:numId="1">
    <w:abstractNumId w:val="2"/>
  </w:num>
  <w:num w:numId="2">
    <w:abstractNumId w:val="0"/>
  </w:num>
  <w:num w:numId="3">
    <w:abstractNumId w:val="3"/>
  </w:num>
  <w:num w:numId="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mirrorMargins/>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34ED7"/>
    <w:rsid w:val="00012CEC"/>
    <w:rsid w:val="00013002"/>
    <w:rsid w:val="0001304B"/>
    <w:rsid w:val="000173F9"/>
    <w:rsid w:val="000253A4"/>
    <w:rsid w:val="00027848"/>
    <w:rsid w:val="00036EE3"/>
    <w:rsid w:val="00040A91"/>
    <w:rsid w:val="00043469"/>
    <w:rsid w:val="00056F65"/>
    <w:rsid w:val="00061BA1"/>
    <w:rsid w:val="000703C7"/>
    <w:rsid w:val="000710E4"/>
    <w:rsid w:val="00072484"/>
    <w:rsid w:val="000907B8"/>
    <w:rsid w:val="00093B35"/>
    <w:rsid w:val="00096612"/>
    <w:rsid w:val="000A4386"/>
    <w:rsid w:val="000A7E9B"/>
    <w:rsid w:val="000B7683"/>
    <w:rsid w:val="000D0677"/>
    <w:rsid w:val="000D0BB8"/>
    <w:rsid w:val="000E6A6E"/>
    <w:rsid w:val="000E73B4"/>
    <w:rsid w:val="00102934"/>
    <w:rsid w:val="00120C9A"/>
    <w:rsid w:val="00132B63"/>
    <w:rsid w:val="00145E8A"/>
    <w:rsid w:val="00147110"/>
    <w:rsid w:val="001511A6"/>
    <w:rsid w:val="001674A3"/>
    <w:rsid w:val="001A5971"/>
    <w:rsid w:val="001C1CED"/>
    <w:rsid w:val="001D38ED"/>
    <w:rsid w:val="001D3AC5"/>
    <w:rsid w:val="001D4983"/>
    <w:rsid w:val="001E1EDB"/>
    <w:rsid w:val="002058CE"/>
    <w:rsid w:val="00211674"/>
    <w:rsid w:val="002165F1"/>
    <w:rsid w:val="00230918"/>
    <w:rsid w:val="00252516"/>
    <w:rsid w:val="002572B3"/>
    <w:rsid w:val="00274851"/>
    <w:rsid w:val="0027560D"/>
    <w:rsid w:val="00276D21"/>
    <w:rsid w:val="00277CA3"/>
    <w:rsid w:val="00286D59"/>
    <w:rsid w:val="002879EF"/>
    <w:rsid w:val="00296D7F"/>
    <w:rsid w:val="002B3CF6"/>
    <w:rsid w:val="002C3161"/>
    <w:rsid w:val="002C668E"/>
    <w:rsid w:val="002C768A"/>
    <w:rsid w:val="002D5453"/>
    <w:rsid w:val="002D76C4"/>
    <w:rsid w:val="002F06BF"/>
    <w:rsid w:val="002F5199"/>
    <w:rsid w:val="00301375"/>
    <w:rsid w:val="00314032"/>
    <w:rsid w:val="0033225B"/>
    <w:rsid w:val="00333892"/>
    <w:rsid w:val="00342B34"/>
    <w:rsid w:val="003437AE"/>
    <w:rsid w:val="00356B5D"/>
    <w:rsid w:val="00367521"/>
    <w:rsid w:val="00374B9C"/>
    <w:rsid w:val="003B0379"/>
    <w:rsid w:val="003D1FB4"/>
    <w:rsid w:val="00401379"/>
    <w:rsid w:val="0041540E"/>
    <w:rsid w:val="0041667C"/>
    <w:rsid w:val="00417B28"/>
    <w:rsid w:val="00420DFD"/>
    <w:rsid w:val="00421A77"/>
    <w:rsid w:val="00421EEC"/>
    <w:rsid w:val="00437A76"/>
    <w:rsid w:val="00453F9A"/>
    <w:rsid w:val="00456609"/>
    <w:rsid w:val="00464AEF"/>
    <w:rsid w:val="00470E28"/>
    <w:rsid w:val="00470FEC"/>
    <w:rsid w:val="00472FB0"/>
    <w:rsid w:val="004830B5"/>
    <w:rsid w:val="004833ED"/>
    <w:rsid w:val="004934C5"/>
    <w:rsid w:val="004A6F52"/>
    <w:rsid w:val="004B238C"/>
    <w:rsid w:val="004C446D"/>
    <w:rsid w:val="004C6A54"/>
    <w:rsid w:val="004D4640"/>
    <w:rsid w:val="004E39FF"/>
    <w:rsid w:val="004F65E4"/>
    <w:rsid w:val="00505AF2"/>
    <w:rsid w:val="00514148"/>
    <w:rsid w:val="00522684"/>
    <w:rsid w:val="00554C61"/>
    <w:rsid w:val="00556548"/>
    <w:rsid w:val="00563F33"/>
    <w:rsid w:val="00586EF8"/>
    <w:rsid w:val="0059077C"/>
    <w:rsid w:val="005B49AB"/>
    <w:rsid w:val="005B50E7"/>
    <w:rsid w:val="005B5559"/>
    <w:rsid w:val="005C4948"/>
    <w:rsid w:val="005D0454"/>
    <w:rsid w:val="005E6585"/>
    <w:rsid w:val="005E7B4F"/>
    <w:rsid w:val="005F4502"/>
    <w:rsid w:val="006003F5"/>
    <w:rsid w:val="00601882"/>
    <w:rsid w:val="00607D68"/>
    <w:rsid w:val="00613212"/>
    <w:rsid w:val="006149B1"/>
    <w:rsid w:val="00625F2E"/>
    <w:rsid w:val="00627F7B"/>
    <w:rsid w:val="0063656F"/>
    <w:rsid w:val="006615CA"/>
    <w:rsid w:val="0066452F"/>
    <w:rsid w:val="00680D2B"/>
    <w:rsid w:val="006819A8"/>
    <w:rsid w:val="00681B32"/>
    <w:rsid w:val="006852DD"/>
    <w:rsid w:val="00686F5F"/>
    <w:rsid w:val="006B1D2B"/>
    <w:rsid w:val="006B3393"/>
    <w:rsid w:val="006B3A72"/>
    <w:rsid w:val="006E1131"/>
    <w:rsid w:val="006E2037"/>
    <w:rsid w:val="006E487B"/>
    <w:rsid w:val="006E6199"/>
    <w:rsid w:val="007037C7"/>
    <w:rsid w:val="00704619"/>
    <w:rsid w:val="00712870"/>
    <w:rsid w:val="00717B60"/>
    <w:rsid w:val="00723AF9"/>
    <w:rsid w:val="007422DB"/>
    <w:rsid w:val="00743D85"/>
    <w:rsid w:val="00753BE4"/>
    <w:rsid w:val="00753CF4"/>
    <w:rsid w:val="0075465A"/>
    <w:rsid w:val="007565CC"/>
    <w:rsid w:val="007608EC"/>
    <w:rsid w:val="00763B9A"/>
    <w:rsid w:val="00770866"/>
    <w:rsid w:val="007739ED"/>
    <w:rsid w:val="00794726"/>
    <w:rsid w:val="007A6AA8"/>
    <w:rsid w:val="007B6066"/>
    <w:rsid w:val="007D224F"/>
    <w:rsid w:val="007D3505"/>
    <w:rsid w:val="007E0B8B"/>
    <w:rsid w:val="008107F2"/>
    <w:rsid w:val="008159FC"/>
    <w:rsid w:val="008310C9"/>
    <w:rsid w:val="00832C7B"/>
    <w:rsid w:val="0084720E"/>
    <w:rsid w:val="0085011B"/>
    <w:rsid w:val="00853CC5"/>
    <w:rsid w:val="00870C90"/>
    <w:rsid w:val="00893299"/>
    <w:rsid w:val="00897B85"/>
    <w:rsid w:val="008C7848"/>
    <w:rsid w:val="008D28E1"/>
    <w:rsid w:val="008D411C"/>
    <w:rsid w:val="008F6E93"/>
    <w:rsid w:val="00906589"/>
    <w:rsid w:val="00906AD6"/>
    <w:rsid w:val="00912CA1"/>
    <w:rsid w:val="00917AF2"/>
    <w:rsid w:val="0092418A"/>
    <w:rsid w:val="00934ED7"/>
    <w:rsid w:val="009543C3"/>
    <w:rsid w:val="00955114"/>
    <w:rsid w:val="00966E1B"/>
    <w:rsid w:val="009702FD"/>
    <w:rsid w:val="00994006"/>
    <w:rsid w:val="009947C0"/>
    <w:rsid w:val="009A01B9"/>
    <w:rsid w:val="009A31DB"/>
    <w:rsid w:val="009E0296"/>
    <w:rsid w:val="009E19C1"/>
    <w:rsid w:val="009E72F1"/>
    <w:rsid w:val="009F2D2C"/>
    <w:rsid w:val="00A04AD9"/>
    <w:rsid w:val="00A13E24"/>
    <w:rsid w:val="00A1549D"/>
    <w:rsid w:val="00A16D15"/>
    <w:rsid w:val="00A307EE"/>
    <w:rsid w:val="00A31928"/>
    <w:rsid w:val="00A40621"/>
    <w:rsid w:val="00A46649"/>
    <w:rsid w:val="00A62A14"/>
    <w:rsid w:val="00A6617B"/>
    <w:rsid w:val="00A71F31"/>
    <w:rsid w:val="00A71FE5"/>
    <w:rsid w:val="00A8118A"/>
    <w:rsid w:val="00A971A1"/>
    <w:rsid w:val="00A979EB"/>
    <w:rsid w:val="00AA3AD8"/>
    <w:rsid w:val="00AA7462"/>
    <w:rsid w:val="00AB0DC8"/>
    <w:rsid w:val="00AD2FD5"/>
    <w:rsid w:val="00AF1186"/>
    <w:rsid w:val="00B033C8"/>
    <w:rsid w:val="00B0394C"/>
    <w:rsid w:val="00B06AC4"/>
    <w:rsid w:val="00B10CA9"/>
    <w:rsid w:val="00B16D46"/>
    <w:rsid w:val="00B20213"/>
    <w:rsid w:val="00B21FC7"/>
    <w:rsid w:val="00B24A30"/>
    <w:rsid w:val="00B279A3"/>
    <w:rsid w:val="00B30ACF"/>
    <w:rsid w:val="00B31B89"/>
    <w:rsid w:val="00B32B16"/>
    <w:rsid w:val="00B33425"/>
    <w:rsid w:val="00B44E24"/>
    <w:rsid w:val="00B54ECC"/>
    <w:rsid w:val="00B5552A"/>
    <w:rsid w:val="00B6755B"/>
    <w:rsid w:val="00B70458"/>
    <w:rsid w:val="00B714F3"/>
    <w:rsid w:val="00B748F1"/>
    <w:rsid w:val="00B87B6B"/>
    <w:rsid w:val="00B95B3B"/>
    <w:rsid w:val="00B96B93"/>
    <w:rsid w:val="00B97174"/>
    <w:rsid w:val="00BA10F1"/>
    <w:rsid w:val="00BA63B4"/>
    <w:rsid w:val="00BC2397"/>
    <w:rsid w:val="00BC31D3"/>
    <w:rsid w:val="00BC5D77"/>
    <w:rsid w:val="00BD7C8E"/>
    <w:rsid w:val="00BE262F"/>
    <w:rsid w:val="00BF47AD"/>
    <w:rsid w:val="00BF487A"/>
    <w:rsid w:val="00C11F2C"/>
    <w:rsid w:val="00C31778"/>
    <w:rsid w:val="00C332C2"/>
    <w:rsid w:val="00C44EEB"/>
    <w:rsid w:val="00C45F6D"/>
    <w:rsid w:val="00C46BD9"/>
    <w:rsid w:val="00C54439"/>
    <w:rsid w:val="00C55258"/>
    <w:rsid w:val="00C651E1"/>
    <w:rsid w:val="00C65235"/>
    <w:rsid w:val="00C73560"/>
    <w:rsid w:val="00C845FE"/>
    <w:rsid w:val="00C85ED3"/>
    <w:rsid w:val="00CB0F14"/>
    <w:rsid w:val="00CC012E"/>
    <w:rsid w:val="00CC2CB7"/>
    <w:rsid w:val="00CD4765"/>
    <w:rsid w:val="00CD659B"/>
    <w:rsid w:val="00CE0A43"/>
    <w:rsid w:val="00CE2BFD"/>
    <w:rsid w:val="00CF023C"/>
    <w:rsid w:val="00CF3447"/>
    <w:rsid w:val="00CF6869"/>
    <w:rsid w:val="00D109C0"/>
    <w:rsid w:val="00D1481C"/>
    <w:rsid w:val="00D20513"/>
    <w:rsid w:val="00D21271"/>
    <w:rsid w:val="00D3558D"/>
    <w:rsid w:val="00D57A5B"/>
    <w:rsid w:val="00D83556"/>
    <w:rsid w:val="00D84F3F"/>
    <w:rsid w:val="00D976FF"/>
    <w:rsid w:val="00DB2647"/>
    <w:rsid w:val="00DB668D"/>
    <w:rsid w:val="00DD5438"/>
    <w:rsid w:val="00DE35EE"/>
    <w:rsid w:val="00DF29E2"/>
    <w:rsid w:val="00DF364F"/>
    <w:rsid w:val="00DF4176"/>
    <w:rsid w:val="00E11DDA"/>
    <w:rsid w:val="00E126CE"/>
    <w:rsid w:val="00E17240"/>
    <w:rsid w:val="00E218CB"/>
    <w:rsid w:val="00E33A09"/>
    <w:rsid w:val="00E406BD"/>
    <w:rsid w:val="00E42798"/>
    <w:rsid w:val="00E5520A"/>
    <w:rsid w:val="00E71BBE"/>
    <w:rsid w:val="00E72211"/>
    <w:rsid w:val="00E72C9B"/>
    <w:rsid w:val="00E7370A"/>
    <w:rsid w:val="00E74376"/>
    <w:rsid w:val="00E74595"/>
    <w:rsid w:val="00E75A36"/>
    <w:rsid w:val="00E87CBC"/>
    <w:rsid w:val="00E87E32"/>
    <w:rsid w:val="00E941BB"/>
    <w:rsid w:val="00EB7C57"/>
    <w:rsid w:val="00ED2695"/>
    <w:rsid w:val="00ED2A44"/>
    <w:rsid w:val="00EF0543"/>
    <w:rsid w:val="00EF3F52"/>
    <w:rsid w:val="00EF7850"/>
    <w:rsid w:val="00F0169D"/>
    <w:rsid w:val="00F16254"/>
    <w:rsid w:val="00F21E88"/>
    <w:rsid w:val="00F239C5"/>
    <w:rsid w:val="00F25C7C"/>
    <w:rsid w:val="00F30C9B"/>
    <w:rsid w:val="00F354B1"/>
    <w:rsid w:val="00F44BD9"/>
    <w:rsid w:val="00F620B7"/>
    <w:rsid w:val="00F64834"/>
    <w:rsid w:val="00F86D8C"/>
    <w:rsid w:val="00F93419"/>
    <w:rsid w:val="00F971EE"/>
    <w:rsid w:val="00FA79A8"/>
    <w:rsid w:val="00FB0E4E"/>
    <w:rsid w:val="00FB6A9D"/>
    <w:rsid w:val="00FC1572"/>
    <w:rsid w:val="00FC42AF"/>
    <w:rsid w:val="00FD15CF"/>
    <w:rsid w:val="00FE1E9C"/>
    <w:rsid w:val="00FE79FE"/>
    <w:rsid w:val="00FF2A3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sz w:val="22"/>
        <w:szCs w:val="22"/>
        <w:lang w:val="de-DE" w:eastAsia="de-DE"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semiHidden="0" w:uiPriority="0" w:unhideWhenUsed="0" w:qFormat="1"/>
    <w:lsdException w:name="heading 8" w:locked="1" w:semiHidden="0" w:uiPriority="0" w:unhideWhenUsed="0" w:qFormat="1"/>
    <w:lsdException w:name="heading 9" w:locked="1"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locked="1" w:semiHidden="0" w:uiPriority="0" w:unhideWhenUsed="0"/>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93419"/>
    <w:pPr>
      <w:tabs>
        <w:tab w:val="left" w:pos="794"/>
        <w:tab w:val="left" w:pos="1191"/>
        <w:tab w:val="left" w:pos="1588"/>
        <w:tab w:val="left" w:pos="1985"/>
      </w:tabs>
      <w:overflowPunct w:val="0"/>
      <w:autoSpaceDE w:val="0"/>
      <w:autoSpaceDN w:val="0"/>
      <w:adjustRightInd w:val="0"/>
      <w:spacing w:before="120"/>
      <w:jc w:val="both"/>
      <w:textAlignment w:val="baseline"/>
    </w:pPr>
    <w:rPr>
      <w:sz w:val="24"/>
      <w:szCs w:val="20"/>
      <w:lang w:val="fr-FR" w:eastAsia="en-US"/>
    </w:rPr>
  </w:style>
  <w:style w:type="paragraph" w:styleId="Heading1">
    <w:name w:val="heading 1"/>
    <w:basedOn w:val="Normal"/>
    <w:next w:val="Normal"/>
    <w:link w:val="Heading1Char"/>
    <w:uiPriority w:val="99"/>
    <w:qFormat/>
    <w:rsid w:val="00F93419"/>
    <w:pPr>
      <w:keepNext/>
      <w:keepLines/>
      <w:spacing w:before="480"/>
      <w:ind w:left="794" w:hanging="794"/>
      <w:outlineLvl w:val="0"/>
    </w:pPr>
    <w:rPr>
      <w:b/>
    </w:rPr>
  </w:style>
  <w:style w:type="paragraph" w:styleId="Heading2">
    <w:name w:val="heading 2"/>
    <w:basedOn w:val="Heading1"/>
    <w:next w:val="Normal"/>
    <w:link w:val="Heading2Char"/>
    <w:uiPriority w:val="99"/>
    <w:qFormat/>
    <w:rsid w:val="00F93419"/>
    <w:pPr>
      <w:spacing w:before="320"/>
      <w:outlineLvl w:val="1"/>
    </w:pPr>
  </w:style>
  <w:style w:type="paragraph" w:styleId="Heading3">
    <w:name w:val="heading 3"/>
    <w:basedOn w:val="Heading1"/>
    <w:next w:val="Normal"/>
    <w:link w:val="Heading3Char"/>
    <w:uiPriority w:val="99"/>
    <w:qFormat/>
    <w:rsid w:val="00F93419"/>
    <w:pPr>
      <w:spacing w:before="200"/>
      <w:outlineLvl w:val="2"/>
    </w:pPr>
  </w:style>
  <w:style w:type="paragraph" w:styleId="Heading4">
    <w:name w:val="heading 4"/>
    <w:basedOn w:val="Heading3"/>
    <w:next w:val="Normal"/>
    <w:link w:val="Heading4Char"/>
    <w:uiPriority w:val="99"/>
    <w:qFormat/>
    <w:rsid w:val="00F93419"/>
    <w:pPr>
      <w:tabs>
        <w:tab w:val="clear" w:pos="794"/>
        <w:tab w:val="left" w:pos="992"/>
      </w:tabs>
      <w:ind w:left="992" w:hanging="992"/>
      <w:outlineLvl w:val="3"/>
    </w:pPr>
  </w:style>
  <w:style w:type="paragraph" w:styleId="Heading5">
    <w:name w:val="heading 5"/>
    <w:basedOn w:val="Heading4"/>
    <w:next w:val="Normal"/>
    <w:link w:val="Heading5Char"/>
    <w:uiPriority w:val="99"/>
    <w:qFormat/>
    <w:rsid w:val="00F93419"/>
    <w:pPr>
      <w:outlineLvl w:val="4"/>
    </w:pPr>
  </w:style>
  <w:style w:type="paragraph" w:styleId="Heading6">
    <w:name w:val="heading 6"/>
    <w:basedOn w:val="Heading4"/>
    <w:next w:val="Normal"/>
    <w:link w:val="Heading6Char"/>
    <w:uiPriority w:val="99"/>
    <w:qFormat/>
    <w:rsid w:val="00F93419"/>
    <w:pPr>
      <w:tabs>
        <w:tab w:val="clear" w:pos="992"/>
        <w:tab w:val="clear" w:pos="1191"/>
      </w:tabs>
      <w:ind w:left="1588" w:hanging="1588"/>
      <w:outlineLvl w:val="5"/>
    </w:pPr>
  </w:style>
  <w:style w:type="paragraph" w:styleId="Heading7">
    <w:name w:val="heading 7"/>
    <w:basedOn w:val="Heading6"/>
    <w:next w:val="Normal"/>
    <w:link w:val="Heading7Char"/>
    <w:uiPriority w:val="99"/>
    <w:qFormat/>
    <w:rsid w:val="00F93419"/>
    <w:pPr>
      <w:outlineLvl w:val="6"/>
    </w:pPr>
  </w:style>
  <w:style w:type="paragraph" w:styleId="Heading8">
    <w:name w:val="heading 8"/>
    <w:basedOn w:val="Heading6"/>
    <w:next w:val="Normal"/>
    <w:link w:val="Heading8Char"/>
    <w:uiPriority w:val="99"/>
    <w:qFormat/>
    <w:rsid w:val="00F93419"/>
    <w:pPr>
      <w:outlineLvl w:val="7"/>
    </w:pPr>
  </w:style>
  <w:style w:type="paragraph" w:styleId="Heading9">
    <w:name w:val="heading 9"/>
    <w:basedOn w:val="Heading6"/>
    <w:next w:val="Normal"/>
    <w:link w:val="Heading9Char"/>
    <w:uiPriority w:val="99"/>
    <w:qFormat/>
    <w:rsid w:val="00F93419"/>
    <w:pPr>
      <w:jc w:val="left"/>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0253A4"/>
    <w:rPr>
      <w:rFonts w:cs="Times New Roman"/>
      <w:b/>
      <w:sz w:val="24"/>
      <w:lang w:val="fr-FR" w:eastAsia="en-US"/>
    </w:rPr>
  </w:style>
  <w:style w:type="character" w:customStyle="1" w:styleId="Heading2Char">
    <w:name w:val="Heading 2 Char"/>
    <w:basedOn w:val="DefaultParagraphFont"/>
    <w:link w:val="Heading2"/>
    <w:uiPriority w:val="99"/>
    <w:locked/>
    <w:rsid w:val="000253A4"/>
    <w:rPr>
      <w:rFonts w:cs="Times New Roman"/>
      <w:b/>
      <w:sz w:val="24"/>
      <w:lang w:val="fr-FR" w:eastAsia="en-US"/>
    </w:rPr>
  </w:style>
  <w:style w:type="character" w:customStyle="1" w:styleId="Heading3Char">
    <w:name w:val="Heading 3 Char"/>
    <w:basedOn w:val="DefaultParagraphFont"/>
    <w:link w:val="Heading3"/>
    <w:uiPriority w:val="99"/>
    <w:locked/>
    <w:rsid w:val="000253A4"/>
    <w:rPr>
      <w:rFonts w:cs="Times New Roman"/>
      <w:b/>
      <w:sz w:val="24"/>
      <w:lang w:val="fr-FR" w:eastAsia="en-US"/>
    </w:rPr>
  </w:style>
  <w:style w:type="character" w:customStyle="1" w:styleId="Heading4Char">
    <w:name w:val="Heading 4 Char"/>
    <w:basedOn w:val="DefaultParagraphFont"/>
    <w:link w:val="Heading4"/>
    <w:uiPriority w:val="99"/>
    <w:locked/>
    <w:rsid w:val="000253A4"/>
    <w:rPr>
      <w:rFonts w:cs="Times New Roman"/>
      <w:b/>
      <w:sz w:val="24"/>
      <w:lang w:val="fr-FR" w:eastAsia="en-US"/>
    </w:rPr>
  </w:style>
  <w:style w:type="character" w:customStyle="1" w:styleId="Heading5Char">
    <w:name w:val="Heading 5 Char"/>
    <w:basedOn w:val="DefaultParagraphFont"/>
    <w:link w:val="Heading5"/>
    <w:uiPriority w:val="99"/>
    <w:locked/>
    <w:rsid w:val="000253A4"/>
    <w:rPr>
      <w:rFonts w:cs="Times New Roman"/>
      <w:b/>
      <w:sz w:val="24"/>
      <w:lang w:val="fr-FR" w:eastAsia="en-US"/>
    </w:rPr>
  </w:style>
  <w:style w:type="character" w:customStyle="1" w:styleId="Heading6Char">
    <w:name w:val="Heading 6 Char"/>
    <w:basedOn w:val="DefaultParagraphFont"/>
    <w:link w:val="Heading6"/>
    <w:uiPriority w:val="99"/>
    <w:locked/>
    <w:rsid w:val="000253A4"/>
    <w:rPr>
      <w:rFonts w:cs="Times New Roman"/>
      <w:b/>
      <w:sz w:val="24"/>
      <w:lang w:val="fr-FR" w:eastAsia="en-US"/>
    </w:rPr>
  </w:style>
  <w:style w:type="character" w:customStyle="1" w:styleId="Heading7Char">
    <w:name w:val="Heading 7 Char"/>
    <w:basedOn w:val="DefaultParagraphFont"/>
    <w:link w:val="Heading7"/>
    <w:uiPriority w:val="99"/>
    <w:locked/>
    <w:rsid w:val="000253A4"/>
    <w:rPr>
      <w:rFonts w:cs="Times New Roman"/>
      <w:b/>
      <w:sz w:val="24"/>
      <w:lang w:val="fr-FR" w:eastAsia="en-US"/>
    </w:rPr>
  </w:style>
  <w:style w:type="character" w:customStyle="1" w:styleId="Heading8Char">
    <w:name w:val="Heading 8 Char"/>
    <w:basedOn w:val="DefaultParagraphFont"/>
    <w:link w:val="Heading8"/>
    <w:uiPriority w:val="99"/>
    <w:locked/>
    <w:rsid w:val="000253A4"/>
    <w:rPr>
      <w:rFonts w:cs="Times New Roman"/>
      <w:b/>
      <w:sz w:val="24"/>
      <w:lang w:val="fr-FR" w:eastAsia="en-US"/>
    </w:rPr>
  </w:style>
  <w:style w:type="character" w:customStyle="1" w:styleId="Heading9Char">
    <w:name w:val="Heading 9 Char"/>
    <w:basedOn w:val="DefaultParagraphFont"/>
    <w:link w:val="Heading9"/>
    <w:uiPriority w:val="99"/>
    <w:locked/>
    <w:rsid w:val="000253A4"/>
    <w:rPr>
      <w:rFonts w:cs="Times New Roman"/>
      <w:b/>
      <w:sz w:val="24"/>
      <w:lang w:val="fr-FR" w:eastAsia="en-US"/>
    </w:rPr>
  </w:style>
  <w:style w:type="paragraph" w:styleId="Header">
    <w:name w:val="header"/>
    <w:basedOn w:val="Normal"/>
    <w:link w:val="HeaderChar"/>
    <w:uiPriority w:val="99"/>
    <w:rsid w:val="00F93419"/>
    <w:pPr>
      <w:tabs>
        <w:tab w:val="clear" w:pos="794"/>
        <w:tab w:val="clear" w:pos="1191"/>
        <w:tab w:val="clear" w:pos="1588"/>
        <w:tab w:val="clear" w:pos="1985"/>
        <w:tab w:val="center" w:pos="4848"/>
        <w:tab w:val="right" w:pos="9696"/>
      </w:tabs>
      <w:spacing w:before="0"/>
      <w:jc w:val="center"/>
    </w:pPr>
  </w:style>
  <w:style w:type="character" w:customStyle="1" w:styleId="HeaderChar">
    <w:name w:val="Header Char"/>
    <w:basedOn w:val="DefaultParagraphFont"/>
    <w:link w:val="Header"/>
    <w:uiPriority w:val="99"/>
    <w:locked/>
    <w:rsid w:val="000253A4"/>
    <w:rPr>
      <w:rFonts w:cs="Times New Roman"/>
      <w:sz w:val="24"/>
      <w:lang w:val="fr-FR" w:eastAsia="en-US"/>
    </w:rPr>
  </w:style>
  <w:style w:type="paragraph" w:styleId="Footer">
    <w:name w:val="footer"/>
    <w:basedOn w:val="Normal"/>
    <w:link w:val="FooterChar"/>
    <w:uiPriority w:val="99"/>
    <w:rsid w:val="00F93419"/>
    <w:pPr>
      <w:tabs>
        <w:tab w:val="clear" w:pos="794"/>
        <w:tab w:val="clear" w:pos="1191"/>
        <w:tab w:val="clear" w:pos="1588"/>
        <w:tab w:val="clear" w:pos="1985"/>
      </w:tabs>
      <w:spacing w:before="0"/>
    </w:pPr>
    <w:rPr>
      <w:noProof/>
      <w:sz w:val="18"/>
    </w:rPr>
  </w:style>
  <w:style w:type="character" w:customStyle="1" w:styleId="FooterChar">
    <w:name w:val="Footer Char"/>
    <w:basedOn w:val="DefaultParagraphFont"/>
    <w:link w:val="Footer"/>
    <w:uiPriority w:val="99"/>
    <w:locked/>
    <w:rsid w:val="000253A4"/>
    <w:rPr>
      <w:rFonts w:cs="Times New Roman"/>
      <w:noProof/>
      <w:sz w:val="18"/>
      <w:lang w:val="fr-FR" w:eastAsia="en-US"/>
    </w:rPr>
  </w:style>
  <w:style w:type="character" w:styleId="PageNumber">
    <w:name w:val="page number"/>
    <w:basedOn w:val="DefaultParagraphFont"/>
    <w:uiPriority w:val="99"/>
    <w:rsid w:val="00F93419"/>
    <w:rPr>
      <w:rFonts w:cs="Times New Roman"/>
    </w:rPr>
  </w:style>
  <w:style w:type="paragraph" w:customStyle="1" w:styleId="Headingb">
    <w:name w:val="Heading_b"/>
    <w:basedOn w:val="Heading3"/>
    <w:next w:val="Normal"/>
    <w:uiPriority w:val="99"/>
    <w:rsid w:val="00F93419"/>
    <w:pPr>
      <w:spacing w:before="160"/>
      <w:ind w:left="0" w:firstLine="0"/>
      <w:outlineLvl w:val="9"/>
    </w:pPr>
  </w:style>
  <w:style w:type="paragraph" w:customStyle="1" w:styleId="Headingi">
    <w:name w:val="Heading_i"/>
    <w:basedOn w:val="Heading3"/>
    <w:next w:val="Normal"/>
    <w:uiPriority w:val="99"/>
    <w:rsid w:val="00F93419"/>
    <w:pPr>
      <w:spacing w:before="160"/>
      <w:ind w:left="0" w:firstLine="0"/>
    </w:pPr>
    <w:rPr>
      <w:b w:val="0"/>
      <w:i/>
    </w:rPr>
  </w:style>
  <w:style w:type="character" w:customStyle="1" w:styleId="href">
    <w:name w:val="href"/>
    <w:basedOn w:val="DefaultParagraphFont"/>
    <w:uiPriority w:val="99"/>
    <w:rsid w:val="00F93419"/>
    <w:rPr>
      <w:rFonts w:cs="Times New Roman"/>
    </w:rPr>
  </w:style>
  <w:style w:type="paragraph" w:customStyle="1" w:styleId="AnnexNoTitle">
    <w:name w:val="Annex_NoTitle"/>
    <w:basedOn w:val="Normal"/>
    <w:next w:val="Normalaftertitle"/>
    <w:link w:val="AnnexNoTitleChar"/>
    <w:uiPriority w:val="99"/>
    <w:rsid w:val="00F93419"/>
    <w:pPr>
      <w:keepNext/>
      <w:keepLines/>
      <w:spacing w:before="480" w:after="80"/>
      <w:jc w:val="center"/>
    </w:pPr>
    <w:rPr>
      <w:b/>
      <w:sz w:val="28"/>
    </w:rPr>
  </w:style>
  <w:style w:type="paragraph" w:customStyle="1" w:styleId="Normalaftertitle">
    <w:name w:val="Normal_after_title"/>
    <w:basedOn w:val="Normal"/>
    <w:next w:val="Normal"/>
    <w:uiPriority w:val="99"/>
    <w:rsid w:val="00F93419"/>
    <w:pPr>
      <w:spacing w:before="320"/>
    </w:pPr>
  </w:style>
  <w:style w:type="paragraph" w:customStyle="1" w:styleId="enumlev2">
    <w:name w:val="enumlev2"/>
    <w:basedOn w:val="enumlev1"/>
    <w:uiPriority w:val="99"/>
    <w:rsid w:val="00F93419"/>
    <w:pPr>
      <w:ind w:left="1191" w:hanging="397"/>
    </w:pPr>
  </w:style>
  <w:style w:type="paragraph" w:customStyle="1" w:styleId="enumlev1">
    <w:name w:val="enumlev1"/>
    <w:basedOn w:val="Normal"/>
    <w:uiPriority w:val="99"/>
    <w:rsid w:val="00F93419"/>
    <w:pPr>
      <w:spacing w:before="80"/>
      <w:ind w:left="794" w:hanging="794"/>
    </w:pPr>
  </w:style>
  <w:style w:type="paragraph" w:customStyle="1" w:styleId="enumlev3">
    <w:name w:val="enumlev3"/>
    <w:basedOn w:val="enumlev2"/>
    <w:uiPriority w:val="99"/>
    <w:rsid w:val="00F93419"/>
    <w:pPr>
      <w:ind w:left="1588"/>
    </w:pPr>
  </w:style>
  <w:style w:type="paragraph" w:customStyle="1" w:styleId="Note">
    <w:name w:val="Note"/>
    <w:basedOn w:val="Normal"/>
    <w:uiPriority w:val="99"/>
    <w:rsid w:val="00F93419"/>
    <w:pPr>
      <w:tabs>
        <w:tab w:val="clear" w:pos="794"/>
        <w:tab w:val="clear" w:pos="1191"/>
        <w:tab w:val="clear" w:pos="1588"/>
        <w:tab w:val="clear" w:pos="1985"/>
      </w:tabs>
      <w:spacing w:before="80"/>
    </w:pPr>
    <w:rPr>
      <w:sz w:val="22"/>
    </w:rPr>
  </w:style>
  <w:style w:type="paragraph" w:customStyle="1" w:styleId="RecNo">
    <w:name w:val="Rec_No"/>
    <w:basedOn w:val="Normal"/>
    <w:next w:val="Rectitle"/>
    <w:uiPriority w:val="99"/>
    <w:rsid w:val="00F93419"/>
    <w:pPr>
      <w:keepNext/>
      <w:keepLines/>
      <w:tabs>
        <w:tab w:val="clear" w:pos="794"/>
        <w:tab w:val="clear" w:pos="1191"/>
        <w:tab w:val="clear" w:pos="1588"/>
        <w:tab w:val="clear" w:pos="1985"/>
      </w:tabs>
      <w:spacing w:before="480"/>
      <w:jc w:val="center"/>
    </w:pPr>
    <w:rPr>
      <w:sz w:val="28"/>
    </w:rPr>
  </w:style>
  <w:style w:type="paragraph" w:customStyle="1" w:styleId="Rectitle">
    <w:name w:val="Rec_title"/>
    <w:basedOn w:val="Normal"/>
    <w:next w:val="Recref"/>
    <w:uiPriority w:val="99"/>
    <w:rsid w:val="00F93419"/>
    <w:pPr>
      <w:keepNext/>
      <w:keepLines/>
      <w:spacing w:before="240"/>
      <w:jc w:val="center"/>
    </w:pPr>
    <w:rPr>
      <w:b/>
      <w:sz w:val="28"/>
    </w:rPr>
  </w:style>
  <w:style w:type="paragraph" w:customStyle="1" w:styleId="Recref">
    <w:name w:val="Rec_ref"/>
    <w:basedOn w:val="Normal"/>
    <w:next w:val="Recdate"/>
    <w:uiPriority w:val="99"/>
    <w:rsid w:val="00F93419"/>
    <w:pPr>
      <w:jc w:val="center"/>
    </w:pPr>
  </w:style>
  <w:style w:type="paragraph" w:customStyle="1" w:styleId="Recdate">
    <w:name w:val="Rec_date"/>
    <w:basedOn w:val="Recref"/>
    <w:next w:val="Normalaftertitle"/>
    <w:uiPriority w:val="99"/>
    <w:rsid w:val="00F93419"/>
    <w:pPr>
      <w:jc w:val="right"/>
    </w:pPr>
  </w:style>
  <w:style w:type="paragraph" w:customStyle="1" w:styleId="HeadingSum">
    <w:name w:val="Heading_Sum"/>
    <w:basedOn w:val="Headingb"/>
    <w:next w:val="Normal"/>
    <w:uiPriority w:val="99"/>
    <w:rsid w:val="00F93419"/>
    <w:pPr>
      <w:spacing w:before="240"/>
    </w:pPr>
    <w:rPr>
      <w:sz w:val="22"/>
      <w:lang w:val="es-ES_tradnl"/>
    </w:rPr>
  </w:style>
  <w:style w:type="paragraph" w:customStyle="1" w:styleId="AppendixNoTitle">
    <w:name w:val="Appendix_NoTitle"/>
    <w:basedOn w:val="AnnexNoTitle"/>
    <w:next w:val="Normal"/>
    <w:uiPriority w:val="99"/>
    <w:rsid w:val="00F93419"/>
  </w:style>
  <w:style w:type="paragraph" w:customStyle="1" w:styleId="Tablefin">
    <w:name w:val="Table_fin"/>
    <w:basedOn w:val="Normal"/>
    <w:next w:val="Normal"/>
    <w:uiPriority w:val="99"/>
    <w:rsid w:val="00F93419"/>
    <w:pPr>
      <w:spacing w:before="0"/>
    </w:pPr>
    <w:rPr>
      <w:sz w:val="20"/>
      <w:lang w:val="en-GB"/>
    </w:rPr>
  </w:style>
  <w:style w:type="paragraph" w:customStyle="1" w:styleId="Tablehead">
    <w:name w:val="Table_head"/>
    <w:basedOn w:val="Normal"/>
    <w:next w:val="Normal"/>
    <w:link w:val="TableheadChar"/>
    <w:uiPriority w:val="99"/>
    <w:rsid w:val="00F93419"/>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paragraph" w:customStyle="1" w:styleId="Tablelegend">
    <w:name w:val="Table_legend"/>
    <w:basedOn w:val="Normal"/>
    <w:uiPriority w:val="99"/>
    <w:rsid w:val="00F93419"/>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ind w:left="284" w:right="-85" w:hanging="369"/>
    </w:pPr>
    <w:rPr>
      <w:sz w:val="22"/>
    </w:rPr>
  </w:style>
  <w:style w:type="paragraph" w:customStyle="1" w:styleId="TableNo">
    <w:name w:val="Table_No"/>
    <w:basedOn w:val="Normal"/>
    <w:next w:val="Normal"/>
    <w:uiPriority w:val="99"/>
    <w:rsid w:val="00F93419"/>
    <w:pPr>
      <w:keepNext/>
      <w:spacing w:before="360" w:after="120"/>
      <w:jc w:val="center"/>
    </w:pPr>
  </w:style>
  <w:style w:type="paragraph" w:customStyle="1" w:styleId="Tabletext">
    <w:name w:val="Table_text"/>
    <w:basedOn w:val="Normal"/>
    <w:link w:val="TabletextChar"/>
    <w:uiPriority w:val="99"/>
    <w:rsid w:val="00F93419"/>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paragraph" w:customStyle="1" w:styleId="Equation">
    <w:name w:val="Equation"/>
    <w:basedOn w:val="Normal"/>
    <w:uiPriority w:val="99"/>
    <w:rsid w:val="00F93419"/>
    <w:pPr>
      <w:tabs>
        <w:tab w:val="clear" w:pos="1191"/>
        <w:tab w:val="clear" w:pos="1588"/>
        <w:tab w:val="clear" w:pos="1985"/>
        <w:tab w:val="center" w:pos="4820"/>
        <w:tab w:val="right" w:pos="9639"/>
      </w:tabs>
    </w:pPr>
  </w:style>
  <w:style w:type="paragraph" w:customStyle="1" w:styleId="Equationlegend">
    <w:name w:val="Equation_legend"/>
    <w:basedOn w:val="NormalIndent"/>
    <w:uiPriority w:val="99"/>
    <w:rsid w:val="00F93419"/>
    <w:pPr>
      <w:tabs>
        <w:tab w:val="clear" w:pos="794"/>
        <w:tab w:val="clear" w:pos="1191"/>
        <w:tab w:val="clear" w:pos="1588"/>
        <w:tab w:val="right" w:pos="1701"/>
      </w:tabs>
      <w:spacing w:before="80"/>
      <w:ind w:left="1985" w:hanging="1985"/>
    </w:pPr>
    <w:rPr>
      <w:lang w:val="en-US"/>
    </w:rPr>
  </w:style>
  <w:style w:type="paragraph" w:styleId="NormalIndent">
    <w:name w:val="Normal Indent"/>
    <w:basedOn w:val="Normal"/>
    <w:uiPriority w:val="99"/>
    <w:rsid w:val="00F93419"/>
    <w:pPr>
      <w:ind w:left="794"/>
    </w:pPr>
  </w:style>
  <w:style w:type="paragraph" w:customStyle="1" w:styleId="Figurelegend">
    <w:name w:val="Figure_legend"/>
    <w:basedOn w:val="Normal"/>
    <w:uiPriority w:val="99"/>
    <w:rsid w:val="00F93419"/>
    <w:pPr>
      <w:keepNext/>
      <w:keepLines/>
      <w:tabs>
        <w:tab w:val="clear" w:pos="794"/>
        <w:tab w:val="clear" w:pos="1191"/>
        <w:tab w:val="clear" w:pos="1588"/>
        <w:tab w:val="clear" w:pos="1985"/>
      </w:tabs>
      <w:spacing w:before="20" w:after="20"/>
    </w:pPr>
    <w:rPr>
      <w:sz w:val="18"/>
    </w:rPr>
  </w:style>
  <w:style w:type="paragraph" w:customStyle="1" w:styleId="FigureNo">
    <w:name w:val="Figure_No"/>
    <w:basedOn w:val="Normal"/>
    <w:next w:val="Figuretitle"/>
    <w:uiPriority w:val="99"/>
    <w:rsid w:val="00F93419"/>
    <w:pPr>
      <w:keepNext/>
      <w:keepLines/>
      <w:spacing w:before="480" w:after="80"/>
      <w:jc w:val="center"/>
    </w:pPr>
    <w:rPr>
      <w:caps/>
      <w:sz w:val="18"/>
    </w:rPr>
  </w:style>
  <w:style w:type="paragraph" w:customStyle="1" w:styleId="Figuretitle">
    <w:name w:val="Figure_title"/>
    <w:basedOn w:val="Normal"/>
    <w:next w:val="Figure"/>
    <w:uiPriority w:val="99"/>
    <w:rsid w:val="00F93419"/>
    <w:pPr>
      <w:keepNext/>
      <w:spacing w:before="0" w:after="120"/>
      <w:jc w:val="center"/>
    </w:pPr>
    <w:rPr>
      <w:rFonts w:ascii="Times New Roman Bold" w:hAnsi="Times New Roman Bold"/>
      <w:b/>
      <w:sz w:val="18"/>
    </w:rPr>
  </w:style>
  <w:style w:type="paragraph" w:customStyle="1" w:styleId="Figure">
    <w:name w:val="Figure"/>
    <w:basedOn w:val="FigureNo"/>
    <w:next w:val="Normal"/>
    <w:uiPriority w:val="99"/>
    <w:rsid w:val="00F93419"/>
    <w:pPr>
      <w:keepNext w:val="0"/>
      <w:spacing w:before="0" w:after="240"/>
    </w:pPr>
  </w:style>
  <w:style w:type="paragraph" w:customStyle="1" w:styleId="tocpart">
    <w:name w:val="tocpart"/>
    <w:basedOn w:val="Normal"/>
    <w:uiPriority w:val="99"/>
    <w:rsid w:val="00F93419"/>
    <w:pPr>
      <w:tabs>
        <w:tab w:val="clear" w:pos="794"/>
        <w:tab w:val="clear" w:pos="1191"/>
        <w:tab w:val="clear" w:pos="1588"/>
        <w:tab w:val="clear" w:pos="1985"/>
        <w:tab w:val="left" w:pos="2693"/>
        <w:tab w:val="left" w:pos="8789"/>
        <w:tab w:val="right" w:pos="9639"/>
      </w:tabs>
      <w:ind w:left="2693" w:hanging="2693"/>
    </w:pPr>
  </w:style>
  <w:style w:type="paragraph" w:customStyle="1" w:styleId="ArtNo">
    <w:name w:val="Art_No"/>
    <w:basedOn w:val="Normal"/>
    <w:next w:val="Normal"/>
    <w:uiPriority w:val="99"/>
    <w:rsid w:val="00F93419"/>
    <w:pPr>
      <w:keepNext/>
      <w:keepLines/>
      <w:spacing w:before="480"/>
      <w:jc w:val="center"/>
    </w:pPr>
    <w:rPr>
      <w:sz w:val="28"/>
    </w:rPr>
  </w:style>
  <w:style w:type="paragraph" w:customStyle="1" w:styleId="Arttitle">
    <w:name w:val="Art_title"/>
    <w:basedOn w:val="Normal"/>
    <w:next w:val="Normalaftertitle"/>
    <w:uiPriority w:val="99"/>
    <w:rsid w:val="00F93419"/>
    <w:pPr>
      <w:keepNext/>
      <w:keepLines/>
      <w:spacing w:before="240"/>
      <w:jc w:val="center"/>
    </w:pPr>
    <w:rPr>
      <w:b/>
      <w:sz w:val="28"/>
    </w:rPr>
  </w:style>
  <w:style w:type="paragraph" w:customStyle="1" w:styleId="Blanc">
    <w:name w:val="Blanc"/>
    <w:basedOn w:val="Normal"/>
    <w:next w:val="Tabletext"/>
    <w:link w:val="BlancChar"/>
    <w:uiPriority w:val="99"/>
    <w:rsid w:val="00F93419"/>
    <w:pPr>
      <w:keepNext/>
      <w:keepLines/>
      <w:tabs>
        <w:tab w:val="clear" w:pos="794"/>
        <w:tab w:val="clear" w:pos="1191"/>
        <w:tab w:val="clear" w:pos="1588"/>
        <w:tab w:val="clear" w:pos="1985"/>
      </w:tabs>
      <w:spacing w:before="0"/>
    </w:pPr>
    <w:rPr>
      <w:sz w:val="16"/>
      <w:lang w:val="en-GB"/>
    </w:rPr>
  </w:style>
  <w:style w:type="paragraph" w:customStyle="1" w:styleId="ASN1">
    <w:name w:val="ASN.1"/>
    <w:basedOn w:val="Normal"/>
    <w:next w:val="Normal"/>
    <w:uiPriority w:val="99"/>
    <w:rsid w:val="00F93419"/>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pacing w:before="0"/>
    </w:pPr>
    <w:rPr>
      <w:b/>
      <w:noProof/>
      <w:sz w:val="20"/>
    </w:rPr>
  </w:style>
  <w:style w:type="paragraph" w:customStyle="1" w:styleId="Call">
    <w:name w:val="Call"/>
    <w:basedOn w:val="Normal"/>
    <w:next w:val="Normal"/>
    <w:uiPriority w:val="99"/>
    <w:rsid w:val="00F93419"/>
    <w:pPr>
      <w:keepNext/>
      <w:keepLines/>
      <w:spacing w:before="160"/>
      <w:ind w:left="794"/>
    </w:pPr>
    <w:rPr>
      <w:i/>
    </w:rPr>
  </w:style>
  <w:style w:type="paragraph" w:customStyle="1" w:styleId="ChapNo">
    <w:name w:val="Chap_No"/>
    <w:basedOn w:val="ArtNo"/>
    <w:next w:val="Chaptitle"/>
    <w:uiPriority w:val="99"/>
    <w:rsid w:val="00F93419"/>
    <w:rPr>
      <w:b/>
    </w:rPr>
  </w:style>
  <w:style w:type="paragraph" w:customStyle="1" w:styleId="Chaptitle">
    <w:name w:val="Chap_title"/>
    <w:basedOn w:val="Arttitle"/>
    <w:next w:val="Normalaftertitle"/>
    <w:uiPriority w:val="99"/>
    <w:rsid w:val="00F93419"/>
  </w:style>
  <w:style w:type="character" w:styleId="FootnoteReference">
    <w:name w:val="footnote reference"/>
    <w:basedOn w:val="DefaultParagraphFont"/>
    <w:uiPriority w:val="99"/>
    <w:semiHidden/>
    <w:rsid w:val="00F93419"/>
    <w:rPr>
      <w:rFonts w:cs="Times New Roman"/>
      <w:position w:val="6"/>
      <w:sz w:val="18"/>
    </w:rPr>
  </w:style>
  <w:style w:type="paragraph" w:styleId="FootnoteText">
    <w:name w:val="footnote text"/>
    <w:basedOn w:val="Normal"/>
    <w:link w:val="FootnoteTextChar"/>
    <w:uiPriority w:val="99"/>
    <w:semiHidden/>
    <w:rsid w:val="00F93419"/>
    <w:pPr>
      <w:keepLines/>
      <w:tabs>
        <w:tab w:val="left" w:pos="255"/>
      </w:tabs>
      <w:ind w:left="255" w:hanging="255"/>
    </w:pPr>
    <w:rPr>
      <w:sz w:val="22"/>
    </w:rPr>
  </w:style>
  <w:style w:type="character" w:customStyle="1" w:styleId="FootnoteTextChar">
    <w:name w:val="Footnote Text Char"/>
    <w:basedOn w:val="DefaultParagraphFont"/>
    <w:link w:val="FootnoteText"/>
    <w:uiPriority w:val="99"/>
    <w:semiHidden/>
    <w:locked/>
    <w:rsid w:val="000253A4"/>
    <w:rPr>
      <w:rFonts w:cs="Times New Roman"/>
      <w:sz w:val="22"/>
      <w:lang w:val="fr-FR" w:eastAsia="en-US"/>
    </w:rPr>
  </w:style>
  <w:style w:type="paragraph" w:styleId="Index1">
    <w:name w:val="index 1"/>
    <w:basedOn w:val="Normal"/>
    <w:next w:val="Normal"/>
    <w:uiPriority w:val="99"/>
    <w:semiHidden/>
    <w:rsid w:val="00F93419"/>
  </w:style>
  <w:style w:type="paragraph" w:styleId="Index2">
    <w:name w:val="index 2"/>
    <w:basedOn w:val="Normal"/>
    <w:next w:val="Normal"/>
    <w:uiPriority w:val="99"/>
    <w:semiHidden/>
    <w:rsid w:val="00F93419"/>
    <w:pPr>
      <w:ind w:left="283"/>
    </w:pPr>
  </w:style>
  <w:style w:type="paragraph" w:styleId="Index3">
    <w:name w:val="index 3"/>
    <w:basedOn w:val="Normal"/>
    <w:next w:val="Normal"/>
    <w:uiPriority w:val="99"/>
    <w:semiHidden/>
    <w:rsid w:val="00F93419"/>
    <w:pPr>
      <w:ind w:left="566"/>
    </w:pPr>
  </w:style>
  <w:style w:type="paragraph" w:styleId="IndexHeading">
    <w:name w:val="index heading"/>
    <w:basedOn w:val="Normal"/>
    <w:next w:val="Index1"/>
    <w:uiPriority w:val="99"/>
    <w:semiHidden/>
    <w:rsid w:val="00F93419"/>
  </w:style>
  <w:style w:type="paragraph" w:customStyle="1" w:styleId="Line">
    <w:name w:val="Line"/>
    <w:basedOn w:val="Normal"/>
    <w:next w:val="Normal"/>
    <w:uiPriority w:val="99"/>
    <w:rsid w:val="00F93419"/>
    <w:pPr>
      <w:pBdr>
        <w:top w:val="single" w:sz="6" w:space="1" w:color="auto"/>
      </w:pBdr>
      <w:tabs>
        <w:tab w:val="clear" w:pos="794"/>
        <w:tab w:val="clear" w:pos="1191"/>
        <w:tab w:val="clear" w:pos="1588"/>
        <w:tab w:val="clear" w:pos="1985"/>
      </w:tabs>
      <w:spacing w:before="240"/>
      <w:ind w:left="3997" w:right="3997"/>
      <w:jc w:val="center"/>
    </w:pPr>
    <w:rPr>
      <w:sz w:val="20"/>
      <w:lang w:val="en-GB"/>
    </w:rPr>
  </w:style>
  <w:style w:type="paragraph" w:customStyle="1" w:styleId="toctemp">
    <w:name w:val="toctemp"/>
    <w:basedOn w:val="Normal"/>
    <w:uiPriority w:val="99"/>
    <w:rsid w:val="00F93419"/>
    <w:pPr>
      <w:tabs>
        <w:tab w:val="clear" w:pos="794"/>
        <w:tab w:val="clear" w:pos="1191"/>
        <w:tab w:val="clear" w:pos="1588"/>
        <w:tab w:val="clear" w:pos="1985"/>
        <w:tab w:val="left" w:pos="2693"/>
        <w:tab w:val="left" w:leader="dot" w:pos="8789"/>
        <w:tab w:val="right" w:pos="9639"/>
      </w:tabs>
      <w:ind w:left="2693" w:right="964" w:hanging="2693"/>
    </w:pPr>
  </w:style>
  <w:style w:type="paragraph" w:customStyle="1" w:styleId="PartNo">
    <w:name w:val="Part_No"/>
    <w:basedOn w:val="Normal"/>
    <w:next w:val="Normal"/>
    <w:uiPriority w:val="99"/>
    <w:rsid w:val="00F93419"/>
  </w:style>
  <w:style w:type="paragraph" w:customStyle="1" w:styleId="Partref">
    <w:name w:val="Part_ref"/>
    <w:basedOn w:val="Normal"/>
    <w:next w:val="Normal"/>
    <w:uiPriority w:val="99"/>
    <w:rsid w:val="00F93419"/>
    <w:pPr>
      <w:keepNext/>
      <w:keepLines/>
      <w:spacing w:after="280"/>
      <w:jc w:val="center"/>
    </w:pPr>
  </w:style>
  <w:style w:type="paragraph" w:customStyle="1" w:styleId="Parttitle">
    <w:name w:val="Part_title"/>
    <w:basedOn w:val="Normal"/>
    <w:next w:val="Normalaftertitle"/>
    <w:uiPriority w:val="99"/>
    <w:rsid w:val="00F93419"/>
    <w:pPr>
      <w:keepNext/>
      <w:keepLines/>
      <w:tabs>
        <w:tab w:val="clear" w:pos="794"/>
        <w:tab w:val="clear" w:pos="1191"/>
        <w:tab w:val="clear" w:pos="1588"/>
        <w:tab w:val="clear" w:pos="1985"/>
      </w:tabs>
      <w:spacing w:before="280" w:after="40"/>
      <w:jc w:val="center"/>
    </w:pPr>
    <w:rPr>
      <w:b/>
      <w:sz w:val="28"/>
    </w:rPr>
  </w:style>
  <w:style w:type="paragraph" w:customStyle="1" w:styleId="Questiondate">
    <w:name w:val="Question_date"/>
    <w:basedOn w:val="Recdate"/>
    <w:next w:val="Normalaftertitle"/>
    <w:uiPriority w:val="99"/>
    <w:rsid w:val="00F93419"/>
  </w:style>
  <w:style w:type="paragraph" w:customStyle="1" w:styleId="QuestionNo">
    <w:name w:val="Question_No"/>
    <w:basedOn w:val="RecNo"/>
    <w:next w:val="Normal"/>
    <w:uiPriority w:val="99"/>
    <w:rsid w:val="00F93419"/>
  </w:style>
  <w:style w:type="paragraph" w:customStyle="1" w:styleId="Questionref">
    <w:name w:val="Question_ref"/>
    <w:basedOn w:val="Recref"/>
    <w:next w:val="Questiondate"/>
    <w:uiPriority w:val="99"/>
    <w:rsid w:val="00F93419"/>
  </w:style>
  <w:style w:type="paragraph" w:customStyle="1" w:styleId="Questiontitle">
    <w:name w:val="Question_title"/>
    <w:basedOn w:val="Normal"/>
    <w:next w:val="Questionref"/>
    <w:uiPriority w:val="99"/>
    <w:rsid w:val="00F93419"/>
  </w:style>
  <w:style w:type="paragraph" w:customStyle="1" w:styleId="Reftext">
    <w:name w:val="Ref_text"/>
    <w:basedOn w:val="Normal"/>
    <w:uiPriority w:val="99"/>
    <w:rsid w:val="00F93419"/>
    <w:pPr>
      <w:ind w:left="794" w:hanging="794"/>
    </w:pPr>
    <w:rPr>
      <w:sz w:val="22"/>
    </w:rPr>
  </w:style>
  <w:style w:type="paragraph" w:customStyle="1" w:styleId="Reftitle">
    <w:name w:val="Ref_title"/>
    <w:basedOn w:val="Normal"/>
    <w:next w:val="Reftext"/>
    <w:uiPriority w:val="99"/>
    <w:rsid w:val="00F93419"/>
    <w:pPr>
      <w:tabs>
        <w:tab w:val="clear" w:pos="794"/>
        <w:tab w:val="clear" w:pos="1191"/>
        <w:tab w:val="clear" w:pos="1588"/>
        <w:tab w:val="clear" w:pos="1985"/>
      </w:tabs>
      <w:spacing w:before="480"/>
      <w:jc w:val="center"/>
    </w:pPr>
    <w:rPr>
      <w:b/>
      <w:sz w:val="28"/>
    </w:rPr>
  </w:style>
  <w:style w:type="paragraph" w:customStyle="1" w:styleId="Repdate">
    <w:name w:val="Rep_date"/>
    <w:basedOn w:val="Recdate"/>
    <w:next w:val="Normal"/>
    <w:uiPriority w:val="99"/>
    <w:rsid w:val="00F93419"/>
  </w:style>
  <w:style w:type="paragraph" w:customStyle="1" w:styleId="RepNo">
    <w:name w:val="Rep_No"/>
    <w:basedOn w:val="RecNo"/>
    <w:next w:val="Reptitle"/>
    <w:uiPriority w:val="99"/>
    <w:rsid w:val="00F93419"/>
  </w:style>
  <w:style w:type="paragraph" w:customStyle="1" w:styleId="Reptitle">
    <w:name w:val="Rep_title"/>
    <w:basedOn w:val="Rectitle"/>
    <w:next w:val="Repref"/>
    <w:uiPriority w:val="99"/>
    <w:rsid w:val="00F93419"/>
  </w:style>
  <w:style w:type="paragraph" w:customStyle="1" w:styleId="Repref">
    <w:name w:val="Rep_ref"/>
    <w:basedOn w:val="Recref"/>
    <w:next w:val="Repdate"/>
    <w:uiPriority w:val="99"/>
    <w:rsid w:val="00F93419"/>
  </w:style>
  <w:style w:type="paragraph" w:customStyle="1" w:styleId="Resdate">
    <w:name w:val="Res_date"/>
    <w:basedOn w:val="Recdate"/>
    <w:next w:val="Normalaftertitle"/>
    <w:uiPriority w:val="99"/>
    <w:rsid w:val="00F93419"/>
  </w:style>
  <w:style w:type="paragraph" w:customStyle="1" w:styleId="ResNo">
    <w:name w:val="Res_No"/>
    <w:basedOn w:val="RecNo"/>
    <w:next w:val="Restitle"/>
    <w:uiPriority w:val="99"/>
    <w:rsid w:val="00F93419"/>
  </w:style>
  <w:style w:type="paragraph" w:customStyle="1" w:styleId="Restitle">
    <w:name w:val="Res_title"/>
    <w:basedOn w:val="Normal"/>
    <w:next w:val="Resref"/>
    <w:uiPriority w:val="99"/>
    <w:rsid w:val="00F93419"/>
    <w:pPr>
      <w:spacing w:before="240"/>
      <w:jc w:val="center"/>
    </w:pPr>
    <w:rPr>
      <w:b/>
      <w:sz w:val="28"/>
    </w:rPr>
  </w:style>
  <w:style w:type="paragraph" w:customStyle="1" w:styleId="Resref">
    <w:name w:val="Res_ref"/>
    <w:basedOn w:val="Recref"/>
    <w:next w:val="Resdate"/>
    <w:uiPriority w:val="99"/>
    <w:rsid w:val="00F93419"/>
  </w:style>
  <w:style w:type="paragraph" w:customStyle="1" w:styleId="SectionNo">
    <w:name w:val="Section_No"/>
    <w:basedOn w:val="Normal"/>
    <w:next w:val="Normal"/>
    <w:uiPriority w:val="99"/>
    <w:rsid w:val="00F93419"/>
  </w:style>
  <w:style w:type="paragraph" w:customStyle="1" w:styleId="Sectiontitle">
    <w:name w:val="Section_title"/>
    <w:basedOn w:val="Normal"/>
    <w:next w:val="Normalaftertitle"/>
    <w:uiPriority w:val="99"/>
    <w:rsid w:val="00F93419"/>
    <w:pPr>
      <w:keepNext/>
      <w:keepLines/>
      <w:tabs>
        <w:tab w:val="clear" w:pos="794"/>
        <w:tab w:val="clear" w:pos="1191"/>
        <w:tab w:val="clear" w:pos="1588"/>
        <w:tab w:val="clear" w:pos="1985"/>
      </w:tabs>
      <w:spacing w:before="280" w:after="40"/>
      <w:jc w:val="center"/>
    </w:pPr>
    <w:rPr>
      <w:b/>
      <w:sz w:val="28"/>
    </w:rPr>
  </w:style>
  <w:style w:type="paragraph" w:customStyle="1" w:styleId="toc0">
    <w:name w:val="toc 0"/>
    <w:basedOn w:val="Normal"/>
    <w:next w:val="TOC1"/>
    <w:uiPriority w:val="99"/>
    <w:rsid w:val="00F93419"/>
    <w:pPr>
      <w:tabs>
        <w:tab w:val="clear" w:pos="794"/>
        <w:tab w:val="clear" w:pos="1191"/>
        <w:tab w:val="clear" w:pos="1588"/>
        <w:tab w:val="clear" w:pos="1985"/>
        <w:tab w:val="right" w:pos="9611"/>
      </w:tabs>
    </w:pPr>
    <w:rPr>
      <w:i/>
    </w:rPr>
  </w:style>
  <w:style w:type="paragraph" w:styleId="TOC1">
    <w:name w:val="toc 1"/>
    <w:basedOn w:val="Normal"/>
    <w:uiPriority w:val="99"/>
    <w:semiHidden/>
    <w:rsid w:val="00F93419"/>
    <w:pPr>
      <w:keepLines/>
      <w:tabs>
        <w:tab w:val="clear" w:pos="794"/>
        <w:tab w:val="clear" w:pos="1191"/>
        <w:tab w:val="clear" w:pos="1588"/>
        <w:tab w:val="clear" w:pos="1985"/>
        <w:tab w:val="left" w:pos="567"/>
        <w:tab w:val="left" w:leader="dot" w:pos="8789"/>
        <w:tab w:val="right" w:pos="9611"/>
      </w:tabs>
      <w:spacing w:before="240"/>
      <w:ind w:left="567" w:right="851" w:hanging="567"/>
    </w:pPr>
    <w:rPr>
      <w:lang w:val="en-US"/>
    </w:rPr>
  </w:style>
  <w:style w:type="paragraph" w:styleId="TOC2">
    <w:name w:val="toc 2"/>
    <w:basedOn w:val="TOC1"/>
    <w:uiPriority w:val="99"/>
    <w:semiHidden/>
    <w:rsid w:val="00F93419"/>
    <w:pPr>
      <w:tabs>
        <w:tab w:val="clear" w:pos="567"/>
        <w:tab w:val="left" w:pos="1276"/>
      </w:tabs>
      <w:spacing w:before="160"/>
      <w:ind w:left="1276" w:hanging="709"/>
    </w:pPr>
  </w:style>
  <w:style w:type="paragraph" w:styleId="TOC3">
    <w:name w:val="toc 3"/>
    <w:basedOn w:val="TOC2"/>
    <w:uiPriority w:val="99"/>
    <w:semiHidden/>
    <w:rsid w:val="00F93419"/>
    <w:pPr>
      <w:tabs>
        <w:tab w:val="clear" w:pos="1276"/>
        <w:tab w:val="left" w:pos="2155"/>
      </w:tabs>
      <w:ind w:left="2155" w:hanging="879"/>
    </w:pPr>
  </w:style>
  <w:style w:type="paragraph" w:styleId="TOC4">
    <w:name w:val="toc 4"/>
    <w:basedOn w:val="TOC3"/>
    <w:uiPriority w:val="99"/>
    <w:semiHidden/>
    <w:rsid w:val="00F93419"/>
    <w:pPr>
      <w:tabs>
        <w:tab w:val="left" w:pos="3261"/>
      </w:tabs>
      <w:spacing w:before="80"/>
      <w:ind w:left="3261" w:hanging="993"/>
    </w:pPr>
  </w:style>
  <w:style w:type="paragraph" w:styleId="TOC5">
    <w:name w:val="toc 5"/>
    <w:basedOn w:val="TOC4"/>
    <w:uiPriority w:val="99"/>
    <w:semiHidden/>
    <w:rsid w:val="00F93419"/>
  </w:style>
  <w:style w:type="paragraph" w:styleId="TOC6">
    <w:name w:val="toc 6"/>
    <w:basedOn w:val="TOC4"/>
    <w:uiPriority w:val="99"/>
    <w:semiHidden/>
    <w:rsid w:val="00F93419"/>
  </w:style>
  <w:style w:type="paragraph" w:styleId="TOC7">
    <w:name w:val="toc 7"/>
    <w:basedOn w:val="TOC4"/>
    <w:uiPriority w:val="99"/>
    <w:semiHidden/>
    <w:rsid w:val="00F93419"/>
  </w:style>
  <w:style w:type="paragraph" w:styleId="TOC8">
    <w:name w:val="toc 8"/>
    <w:basedOn w:val="TOC4"/>
    <w:uiPriority w:val="99"/>
    <w:semiHidden/>
    <w:rsid w:val="00F93419"/>
  </w:style>
  <w:style w:type="paragraph" w:customStyle="1" w:styleId="Annexref">
    <w:name w:val="Annex_ref"/>
    <w:basedOn w:val="Normal"/>
    <w:next w:val="Normalaftertitle"/>
    <w:uiPriority w:val="99"/>
    <w:rsid w:val="00F93419"/>
    <w:pPr>
      <w:keepNext/>
      <w:keepLines/>
      <w:spacing w:after="280"/>
      <w:jc w:val="center"/>
    </w:pPr>
  </w:style>
  <w:style w:type="paragraph" w:customStyle="1" w:styleId="Appendixref">
    <w:name w:val="Appendix_ref"/>
    <w:basedOn w:val="Annexref"/>
    <w:next w:val="Normalaftertitle"/>
    <w:uiPriority w:val="99"/>
    <w:rsid w:val="00F93419"/>
  </w:style>
  <w:style w:type="paragraph" w:customStyle="1" w:styleId="Tabletitle">
    <w:name w:val="Table_title"/>
    <w:basedOn w:val="Normal"/>
    <w:next w:val="Tablehead"/>
    <w:uiPriority w:val="99"/>
    <w:rsid w:val="00F93419"/>
    <w:pPr>
      <w:keepNext/>
      <w:spacing w:before="0" w:after="120"/>
      <w:jc w:val="center"/>
    </w:pPr>
    <w:rPr>
      <w:b/>
    </w:rPr>
  </w:style>
  <w:style w:type="paragraph" w:customStyle="1" w:styleId="Summary">
    <w:name w:val="Summary"/>
    <w:basedOn w:val="Normal"/>
    <w:next w:val="Normalaftertitle"/>
    <w:uiPriority w:val="99"/>
    <w:rsid w:val="00F93419"/>
    <w:pPr>
      <w:spacing w:after="480"/>
    </w:pPr>
    <w:rPr>
      <w:sz w:val="22"/>
      <w:lang w:val="es-ES_tradnl"/>
    </w:rPr>
  </w:style>
  <w:style w:type="character" w:styleId="Hyperlink">
    <w:name w:val="Hyperlink"/>
    <w:basedOn w:val="DefaultParagraphFont"/>
    <w:uiPriority w:val="99"/>
    <w:rsid w:val="00934ED7"/>
    <w:rPr>
      <w:rFonts w:cs="Times New Roman"/>
      <w:color w:val="0000FF"/>
      <w:u w:val="single"/>
    </w:rPr>
  </w:style>
  <w:style w:type="table" w:styleId="TableGrid">
    <w:name w:val="Table Grid"/>
    <w:basedOn w:val="TableNormal"/>
    <w:uiPriority w:val="99"/>
    <w:rsid w:val="000253A4"/>
    <w:pPr>
      <w:tabs>
        <w:tab w:val="left" w:pos="794"/>
        <w:tab w:val="left" w:pos="1191"/>
        <w:tab w:val="left" w:pos="1588"/>
        <w:tab w:val="left" w:pos="1985"/>
      </w:tabs>
      <w:overflowPunct w:val="0"/>
      <w:autoSpaceDE w:val="0"/>
      <w:autoSpaceDN w:val="0"/>
      <w:adjustRightInd w:val="0"/>
      <w:spacing w:before="120"/>
      <w:jc w:val="both"/>
      <w:textAlignment w:val="baseline"/>
    </w:pPr>
    <w:rPr>
      <w:rFonts w:ascii="CG Times" w:eastAsia="SimSun" w:hAnsi="CG Times"/>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lancChar">
    <w:name w:val="Blanc Char"/>
    <w:basedOn w:val="DefaultParagraphFont"/>
    <w:link w:val="Blanc"/>
    <w:uiPriority w:val="99"/>
    <w:locked/>
    <w:rsid w:val="000253A4"/>
    <w:rPr>
      <w:rFonts w:cs="Times New Roman"/>
      <w:sz w:val="16"/>
      <w:lang w:val="en-GB" w:eastAsia="en-US"/>
    </w:rPr>
  </w:style>
  <w:style w:type="character" w:customStyle="1" w:styleId="AnnexNoTitleChar">
    <w:name w:val="Annex_NoTitle Char"/>
    <w:basedOn w:val="DefaultParagraphFont"/>
    <w:link w:val="AnnexNoTitle"/>
    <w:uiPriority w:val="99"/>
    <w:locked/>
    <w:rsid w:val="000253A4"/>
    <w:rPr>
      <w:rFonts w:cs="Times New Roman"/>
      <w:b/>
      <w:sz w:val="28"/>
      <w:lang w:val="fr-FR" w:eastAsia="en-US"/>
    </w:rPr>
  </w:style>
  <w:style w:type="paragraph" w:styleId="EndnoteText">
    <w:name w:val="endnote text"/>
    <w:basedOn w:val="Normal"/>
    <w:link w:val="EndnoteTextChar"/>
    <w:uiPriority w:val="99"/>
    <w:rsid w:val="00514148"/>
    <w:pPr>
      <w:spacing w:before="0"/>
    </w:pPr>
    <w:rPr>
      <w:sz w:val="20"/>
    </w:rPr>
  </w:style>
  <w:style w:type="character" w:customStyle="1" w:styleId="EndnoteTextChar">
    <w:name w:val="Endnote Text Char"/>
    <w:basedOn w:val="DefaultParagraphFont"/>
    <w:link w:val="EndnoteText"/>
    <w:uiPriority w:val="99"/>
    <w:locked/>
    <w:rsid w:val="00514148"/>
    <w:rPr>
      <w:rFonts w:cs="Times New Roman"/>
      <w:lang w:val="fr-FR" w:eastAsia="en-US"/>
    </w:rPr>
  </w:style>
  <w:style w:type="character" w:styleId="EndnoteReference">
    <w:name w:val="endnote reference"/>
    <w:basedOn w:val="DefaultParagraphFont"/>
    <w:uiPriority w:val="99"/>
    <w:rsid w:val="00514148"/>
    <w:rPr>
      <w:rFonts w:cs="Times New Roman"/>
      <w:vertAlign w:val="superscript"/>
    </w:rPr>
  </w:style>
  <w:style w:type="paragraph" w:styleId="BalloonText">
    <w:name w:val="Balloon Text"/>
    <w:basedOn w:val="Normal"/>
    <w:link w:val="BalloonTextChar"/>
    <w:uiPriority w:val="99"/>
    <w:rsid w:val="00D1481C"/>
    <w:pPr>
      <w:spacing w:before="0"/>
    </w:pPr>
    <w:rPr>
      <w:rFonts w:ascii="Tahoma" w:hAnsi="Tahoma" w:cs="Tahoma"/>
      <w:sz w:val="16"/>
      <w:szCs w:val="16"/>
    </w:rPr>
  </w:style>
  <w:style w:type="character" w:customStyle="1" w:styleId="BalloonTextChar">
    <w:name w:val="Balloon Text Char"/>
    <w:basedOn w:val="DefaultParagraphFont"/>
    <w:link w:val="BalloonText"/>
    <w:uiPriority w:val="99"/>
    <w:locked/>
    <w:rsid w:val="00D1481C"/>
    <w:rPr>
      <w:rFonts w:ascii="Tahoma" w:hAnsi="Tahoma" w:cs="Tahoma"/>
      <w:sz w:val="16"/>
      <w:szCs w:val="16"/>
      <w:lang w:val="fr-FR" w:eastAsia="en-US"/>
    </w:rPr>
  </w:style>
  <w:style w:type="character" w:customStyle="1" w:styleId="TabletextChar">
    <w:name w:val="Table_text Char"/>
    <w:basedOn w:val="DefaultParagraphFont"/>
    <w:link w:val="Tabletext"/>
    <w:uiPriority w:val="99"/>
    <w:locked/>
    <w:rsid w:val="00E72C9B"/>
    <w:rPr>
      <w:rFonts w:cs="Times New Roman"/>
      <w:sz w:val="22"/>
      <w:lang w:val="fr-FR" w:eastAsia="en-US"/>
    </w:rPr>
  </w:style>
  <w:style w:type="character" w:customStyle="1" w:styleId="TableheadChar">
    <w:name w:val="Table_head Char"/>
    <w:basedOn w:val="DefaultParagraphFont"/>
    <w:link w:val="Tablehead"/>
    <w:uiPriority w:val="99"/>
    <w:locked/>
    <w:rsid w:val="00E72C9B"/>
    <w:rPr>
      <w:rFonts w:cs="Times New Roman"/>
      <w:b/>
      <w:sz w:val="22"/>
      <w:lang w:val="fr-FR" w:eastAsia="en-US"/>
    </w:rPr>
  </w:style>
  <w:style w:type="paragraph" w:styleId="ListParagraph">
    <w:name w:val="List Paragraph"/>
    <w:basedOn w:val="Normal"/>
    <w:uiPriority w:val="99"/>
    <w:qFormat/>
    <w:rsid w:val="00704619"/>
    <w:pPr>
      <w:ind w:left="720"/>
      <w:contextualSpacing/>
      <w:textAlignment w:val="auto"/>
    </w:pPr>
    <w:rPr>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sz w:val="22"/>
        <w:szCs w:val="22"/>
        <w:lang w:val="de-DE" w:eastAsia="de-DE"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semiHidden="0" w:uiPriority="0" w:unhideWhenUsed="0" w:qFormat="1"/>
    <w:lsdException w:name="heading 8" w:locked="1" w:semiHidden="0" w:uiPriority="0" w:unhideWhenUsed="0" w:qFormat="1"/>
    <w:lsdException w:name="heading 9" w:locked="1"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locked="1" w:semiHidden="0" w:uiPriority="0" w:unhideWhenUsed="0"/>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93419"/>
    <w:pPr>
      <w:tabs>
        <w:tab w:val="left" w:pos="794"/>
        <w:tab w:val="left" w:pos="1191"/>
        <w:tab w:val="left" w:pos="1588"/>
        <w:tab w:val="left" w:pos="1985"/>
      </w:tabs>
      <w:overflowPunct w:val="0"/>
      <w:autoSpaceDE w:val="0"/>
      <w:autoSpaceDN w:val="0"/>
      <w:adjustRightInd w:val="0"/>
      <w:spacing w:before="120"/>
      <w:jc w:val="both"/>
      <w:textAlignment w:val="baseline"/>
    </w:pPr>
    <w:rPr>
      <w:sz w:val="24"/>
      <w:szCs w:val="20"/>
      <w:lang w:val="fr-FR" w:eastAsia="en-US"/>
    </w:rPr>
  </w:style>
  <w:style w:type="paragraph" w:styleId="Heading1">
    <w:name w:val="heading 1"/>
    <w:basedOn w:val="Normal"/>
    <w:next w:val="Normal"/>
    <w:link w:val="Heading1Char"/>
    <w:uiPriority w:val="99"/>
    <w:qFormat/>
    <w:rsid w:val="00F93419"/>
    <w:pPr>
      <w:keepNext/>
      <w:keepLines/>
      <w:spacing w:before="480"/>
      <w:ind w:left="794" w:hanging="794"/>
      <w:outlineLvl w:val="0"/>
    </w:pPr>
    <w:rPr>
      <w:b/>
    </w:rPr>
  </w:style>
  <w:style w:type="paragraph" w:styleId="Heading2">
    <w:name w:val="heading 2"/>
    <w:basedOn w:val="Heading1"/>
    <w:next w:val="Normal"/>
    <w:link w:val="Heading2Char"/>
    <w:uiPriority w:val="99"/>
    <w:qFormat/>
    <w:rsid w:val="00F93419"/>
    <w:pPr>
      <w:spacing w:before="320"/>
      <w:outlineLvl w:val="1"/>
    </w:pPr>
  </w:style>
  <w:style w:type="paragraph" w:styleId="Heading3">
    <w:name w:val="heading 3"/>
    <w:basedOn w:val="Heading1"/>
    <w:next w:val="Normal"/>
    <w:link w:val="Heading3Char"/>
    <w:uiPriority w:val="99"/>
    <w:qFormat/>
    <w:rsid w:val="00F93419"/>
    <w:pPr>
      <w:spacing w:before="200"/>
      <w:outlineLvl w:val="2"/>
    </w:pPr>
  </w:style>
  <w:style w:type="paragraph" w:styleId="Heading4">
    <w:name w:val="heading 4"/>
    <w:basedOn w:val="Heading3"/>
    <w:next w:val="Normal"/>
    <w:link w:val="Heading4Char"/>
    <w:uiPriority w:val="99"/>
    <w:qFormat/>
    <w:rsid w:val="00F93419"/>
    <w:pPr>
      <w:tabs>
        <w:tab w:val="clear" w:pos="794"/>
        <w:tab w:val="left" w:pos="992"/>
      </w:tabs>
      <w:ind w:left="992" w:hanging="992"/>
      <w:outlineLvl w:val="3"/>
    </w:pPr>
  </w:style>
  <w:style w:type="paragraph" w:styleId="Heading5">
    <w:name w:val="heading 5"/>
    <w:basedOn w:val="Heading4"/>
    <w:next w:val="Normal"/>
    <w:link w:val="Heading5Char"/>
    <w:uiPriority w:val="99"/>
    <w:qFormat/>
    <w:rsid w:val="00F93419"/>
    <w:pPr>
      <w:outlineLvl w:val="4"/>
    </w:pPr>
  </w:style>
  <w:style w:type="paragraph" w:styleId="Heading6">
    <w:name w:val="heading 6"/>
    <w:basedOn w:val="Heading4"/>
    <w:next w:val="Normal"/>
    <w:link w:val="Heading6Char"/>
    <w:uiPriority w:val="99"/>
    <w:qFormat/>
    <w:rsid w:val="00F93419"/>
    <w:pPr>
      <w:tabs>
        <w:tab w:val="clear" w:pos="992"/>
        <w:tab w:val="clear" w:pos="1191"/>
      </w:tabs>
      <w:ind w:left="1588" w:hanging="1588"/>
      <w:outlineLvl w:val="5"/>
    </w:pPr>
  </w:style>
  <w:style w:type="paragraph" w:styleId="Heading7">
    <w:name w:val="heading 7"/>
    <w:basedOn w:val="Heading6"/>
    <w:next w:val="Normal"/>
    <w:link w:val="Heading7Char"/>
    <w:uiPriority w:val="99"/>
    <w:qFormat/>
    <w:rsid w:val="00F93419"/>
    <w:pPr>
      <w:outlineLvl w:val="6"/>
    </w:pPr>
  </w:style>
  <w:style w:type="paragraph" w:styleId="Heading8">
    <w:name w:val="heading 8"/>
    <w:basedOn w:val="Heading6"/>
    <w:next w:val="Normal"/>
    <w:link w:val="Heading8Char"/>
    <w:uiPriority w:val="99"/>
    <w:qFormat/>
    <w:rsid w:val="00F93419"/>
    <w:pPr>
      <w:outlineLvl w:val="7"/>
    </w:pPr>
  </w:style>
  <w:style w:type="paragraph" w:styleId="Heading9">
    <w:name w:val="heading 9"/>
    <w:basedOn w:val="Heading6"/>
    <w:next w:val="Normal"/>
    <w:link w:val="Heading9Char"/>
    <w:uiPriority w:val="99"/>
    <w:qFormat/>
    <w:rsid w:val="00F93419"/>
    <w:pPr>
      <w:jc w:val="left"/>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0253A4"/>
    <w:rPr>
      <w:rFonts w:cs="Times New Roman"/>
      <w:b/>
      <w:sz w:val="24"/>
      <w:lang w:val="fr-FR" w:eastAsia="en-US"/>
    </w:rPr>
  </w:style>
  <w:style w:type="character" w:customStyle="1" w:styleId="Heading2Char">
    <w:name w:val="Heading 2 Char"/>
    <w:basedOn w:val="DefaultParagraphFont"/>
    <w:link w:val="Heading2"/>
    <w:uiPriority w:val="99"/>
    <w:locked/>
    <w:rsid w:val="000253A4"/>
    <w:rPr>
      <w:rFonts w:cs="Times New Roman"/>
      <w:b/>
      <w:sz w:val="24"/>
      <w:lang w:val="fr-FR" w:eastAsia="en-US"/>
    </w:rPr>
  </w:style>
  <w:style w:type="character" w:customStyle="1" w:styleId="Heading3Char">
    <w:name w:val="Heading 3 Char"/>
    <w:basedOn w:val="DefaultParagraphFont"/>
    <w:link w:val="Heading3"/>
    <w:uiPriority w:val="99"/>
    <w:locked/>
    <w:rsid w:val="000253A4"/>
    <w:rPr>
      <w:rFonts w:cs="Times New Roman"/>
      <w:b/>
      <w:sz w:val="24"/>
      <w:lang w:val="fr-FR" w:eastAsia="en-US"/>
    </w:rPr>
  </w:style>
  <w:style w:type="character" w:customStyle="1" w:styleId="Heading4Char">
    <w:name w:val="Heading 4 Char"/>
    <w:basedOn w:val="DefaultParagraphFont"/>
    <w:link w:val="Heading4"/>
    <w:uiPriority w:val="99"/>
    <w:locked/>
    <w:rsid w:val="000253A4"/>
    <w:rPr>
      <w:rFonts w:cs="Times New Roman"/>
      <w:b/>
      <w:sz w:val="24"/>
      <w:lang w:val="fr-FR" w:eastAsia="en-US"/>
    </w:rPr>
  </w:style>
  <w:style w:type="character" w:customStyle="1" w:styleId="Heading5Char">
    <w:name w:val="Heading 5 Char"/>
    <w:basedOn w:val="DefaultParagraphFont"/>
    <w:link w:val="Heading5"/>
    <w:uiPriority w:val="99"/>
    <w:locked/>
    <w:rsid w:val="000253A4"/>
    <w:rPr>
      <w:rFonts w:cs="Times New Roman"/>
      <w:b/>
      <w:sz w:val="24"/>
      <w:lang w:val="fr-FR" w:eastAsia="en-US"/>
    </w:rPr>
  </w:style>
  <w:style w:type="character" w:customStyle="1" w:styleId="Heading6Char">
    <w:name w:val="Heading 6 Char"/>
    <w:basedOn w:val="DefaultParagraphFont"/>
    <w:link w:val="Heading6"/>
    <w:uiPriority w:val="99"/>
    <w:locked/>
    <w:rsid w:val="000253A4"/>
    <w:rPr>
      <w:rFonts w:cs="Times New Roman"/>
      <w:b/>
      <w:sz w:val="24"/>
      <w:lang w:val="fr-FR" w:eastAsia="en-US"/>
    </w:rPr>
  </w:style>
  <w:style w:type="character" w:customStyle="1" w:styleId="Heading7Char">
    <w:name w:val="Heading 7 Char"/>
    <w:basedOn w:val="DefaultParagraphFont"/>
    <w:link w:val="Heading7"/>
    <w:uiPriority w:val="99"/>
    <w:locked/>
    <w:rsid w:val="000253A4"/>
    <w:rPr>
      <w:rFonts w:cs="Times New Roman"/>
      <w:b/>
      <w:sz w:val="24"/>
      <w:lang w:val="fr-FR" w:eastAsia="en-US"/>
    </w:rPr>
  </w:style>
  <w:style w:type="character" w:customStyle="1" w:styleId="Heading8Char">
    <w:name w:val="Heading 8 Char"/>
    <w:basedOn w:val="DefaultParagraphFont"/>
    <w:link w:val="Heading8"/>
    <w:uiPriority w:val="99"/>
    <w:locked/>
    <w:rsid w:val="000253A4"/>
    <w:rPr>
      <w:rFonts w:cs="Times New Roman"/>
      <w:b/>
      <w:sz w:val="24"/>
      <w:lang w:val="fr-FR" w:eastAsia="en-US"/>
    </w:rPr>
  </w:style>
  <w:style w:type="character" w:customStyle="1" w:styleId="Heading9Char">
    <w:name w:val="Heading 9 Char"/>
    <w:basedOn w:val="DefaultParagraphFont"/>
    <w:link w:val="Heading9"/>
    <w:uiPriority w:val="99"/>
    <w:locked/>
    <w:rsid w:val="000253A4"/>
    <w:rPr>
      <w:rFonts w:cs="Times New Roman"/>
      <w:b/>
      <w:sz w:val="24"/>
      <w:lang w:val="fr-FR" w:eastAsia="en-US"/>
    </w:rPr>
  </w:style>
  <w:style w:type="paragraph" w:styleId="Header">
    <w:name w:val="header"/>
    <w:basedOn w:val="Normal"/>
    <w:link w:val="HeaderChar"/>
    <w:uiPriority w:val="99"/>
    <w:rsid w:val="00F93419"/>
    <w:pPr>
      <w:tabs>
        <w:tab w:val="clear" w:pos="794"/>
        <w:tab w:val="clear" w:pos="1191"/>
        <w:tab w:val="clear" w:pos="1588"/>
        <w:tab w:val="clear" w:pos="1985"/>
        <w:tab w:val="center" w:pos="4848"/>
        <w:tab w:val="right" w:pos="9696"/>
      </w:tabs>
      <w:spacing w:before="0"/>
      <w:jc w:val="center"/>
    </w:pPr>
  </w:style>
  <w:style w:type="character" w:customStyle="1" w:styleId="HeaderChar">
    <w:name w:val="Header Char"/>
    <w:basedOn w:val="DefaultParagraphFont"/>
    <w:link w:val="Header"/>
    <w:uiPriority w:val="99"/>
    <w:locked/>
    <w:rsid w:val="000253A4"/>
    <w:rPr>
      <w:rFonts w:cs="Times New Roman"/>
      <w:sz w:val="24"/>
      <w:lang w:val="fr-FR" w:eastAsia="en-US"/>
    </w:rPr>
  </w:style>
  <w:style w:type="paragraph" w:styleId="Footer">
    <w:name w:val="footer"/>
    <w:basedOn w:val="Normal"/>
    <w:link w:val="FooterChar"/>
    <w:uiPriority w:val="99"/>
    <w:rsid w:val="00F93419"/>
    <w:pPr>
      <w:tabs>
        <w:tab w:val="clear" w:pos="794"/>
        <w:tab w:val="clear" w:pos="1191"/>
        <w:tab w:val="clear" w:pos="1588"/>
        <w:tab w:val="clear" w:pos="1985"/>
      </w:tabs>
      <w:spacing w:before="0"/>
    </w:pPr>
    <w:rPr>
      <w:noProof/>
      <w:sz w:val="18"/>
    </w:rPr>
  </w:style>
  <w:style w:type="character" w:customStyle="1" w:styleId="FooterChar">
    <w:name w:val="Footer Char"/>
    <w:basedOn w:val="DefaultParagraphFont"/>
    <w:link w:val="Footer"/>
    <w:uiPriority w:val="99"/>
    <w:locked/>
    <w:rsid w:val="000253A4"/>
    <w:rPr>
      <w:rFonts w:cs="Times New Roman"/>
      <w:noProof/>
      <w:sz w:val="18"/>
      <w:lang w:val="fr-FR" w:eastAsia="en-US"/>
    </w:rPr>
  </w:style>
  <w:style w:type="character" w:styleId="PageNumber">
    <w:name w:val="page number"/>
    <w:basedOn w:val="DefaultParagraphFont"/>
    <w:uiPriority w:val="99"/>
    <w:rsid w:val="00F93419"/>
    <w:rPr>
      <w:rFonts w:cs="Times New Roman"/>
    </w:rPr>
  </w:style>
  <w:style w:type="paragraph" w:customStyle="1" w:styleId="Headingb">
    <w:name w:val="Heading_b"/>
    <w:basedOn w:val="Heading3"/>
    <w:next w:val="Normal"/>
    <w:uiPriority w:val="99"/>
    <w:rsid w:val="00F93419"/>
    <w:pPr>
      <w:spacing w:before="160"/>
      <w:ind w:left="0" w:firstLine="0"/>
      <w:outlineLvl w:val="9"/>
    </w:pPr>
  </w:style>
  <w:style w:type="paragraph" w:customStyle="1" w:styleId="Headingi">
    <w:name w:val="Heading_i"/>
    <w:basedOn w:val="Heading3"/>
    <w:next w:val="Normal"/>
    <w:uiPriority w:val="99"/>
    <w:rsid w:val="00F93419"/>
    <w:pPr>
      <w:spacing w:before="160"/>
      <w:ind w:left="0" w:firstLine="0"/>
    </w:pPr>
    <w:rPr>
      <w:b w:val="0"/>
      <w:i/>
    </w:rPr>
  </w:style>
  <w:style w:type="character" w:customStyle="1" w:styleId="href">
    <w:name w:val="href"/>
    <w:basedOn w:val="DefaultParagraphFont"/>
    <w:uiPriority w:val="99"/>
    <w:rsid w:val="00F93419"/>
    <w:rPr>
      <w:rFonts w:cs="Times New Roman"/>
    </w:rPr>
  </w:style>
  <w:style w:type="paragraph" w:customStyle="1" w:styleId="AnnexNoTitle">
    <w:name w:val="Annex_NoTitle"/>
    <w:basedOn w:val="Normal"/>
    <w:next w:val="Normalaftertitle"/>
    <w:link w:val="AnnexNoTitleChar"/>
    <w:uiPriority w:val="99"/>
    <w:rsid w:val="00F93419"/>
    <w:pPr>
      <w:keepNext/>
      <w:keepLines/>
      <w:spacing w:before="480" w:after="80"/>
      <w:jc w:val="center"/>
    </w:pPr>
    <w:rPr>
      <w:b/>
      <w:sz w:val="28"/>
    </w:rPr>
  </w:style>
  <w:style w:type="paragraph" w:customStyle="1" w:styleId="Normalaftertitle">
    <w:name w:val="Normal_after_title"/>
    <w:basedOn w:val="Normal"/>
    <w:next w:val="Normal"/>
    <w:uiPriority w:val="99"/>
    <w:rsid w:val="00F93419"/>
    <w:pPr>
      <w:spacing w:before="320"/>
    </w:pPr>
  </w:style>
  <w:style w:type="paragraph" w:customStyle="1" w:styleId="enumlev2">
    <w:name w:val="enumlev2"/>
    <w:basedOn w:val="enumlev1"/>
    <w:uiPriority w:val="99"/>
    <w:rsid w:val="00F93419"/>
    <w:pPr>
      <w:ind w:left="1191" w:hanging="397"/>
    </w:pPr>
  </w:style>
  <w:style w:type="paragraph" w:customStyle="1" w:styleId="enumlev1">
    <w:name w:val="enumlev1"/>
    <w:basedOn w:val="Normal"/>
    <w:uiPriority w:val="99"/>
    <w:rsid w:val="00F93419"/>
    <w:pPr>
      <w:spacing w:before="80"/>
      <w:ind w:left="794" w:hanging="794"/>
    </w:pPr>
  </w:style>
  <w:style w:type="paragraph" w:customStyle="1" w:styleId="enumlev3">
    <w:name w:val="enumlev3"/>
    <w:basedOn w:val="enumlev2"/>
    <w:uiPriority w:val="99"/>
    <w:rsid w:val="00F93419"/>
    <w:pPr>
      <w:ind w:left="1588"/>
    </w:pPr>
  </w:style>
  <w:style w:type="paragraph" w:customStyle="1" w:styleId="Note">
    <w:name w:val="Note"/>
    <w:basedOn w:val="Normal"/>
    <w:uiPriority w:val="99"/>
    <w:rsid w:val="00F93419"/>
    <w:pPr>
      <w:tabs>
        <w:tab w:val="clear" w:pos="794"/>
        <w:tab w:val="clear" w:pos="1191"/>
        <w:tab w:val="clear" w:pos="1588"/>
        <w:tab w:val="clear" w:pos="1985"/>
      </w:tabs>
      <w:spacing w:before="80"/>
    </w:pPr>
    <w:rPr>
      <w:sz w:val="22"/>
    </w:rPr>
  </w:style>
  <w:style w:type="paragraph" w:customStyle="1" w:styleId="RecNo">
    <w:name w:val="Rec_No"/>
    <w:basedOn w:val="Normal"/>
    <w:next w:val="Rectitle"/>
    <w:uiPriority w:val="99"/>
    <w:rsid w:val="00F93419"/>
    <w:pPr>
      <w:keepNext/>
      <w:keepLines/>
      <w:tabs>
        <w:tab w:val="clear" w:pos="794"/>
        <w:tab w:val="clear" w:pos="1191"/>
        <w:tab w:val="clear" w:pos="1588"/>
        <w:tab w:val="clear" w:pos="1985"/>
      </w:tabs>
      <w:spacing w:before="480"/>
      <w:jc w:val="center"/>
    </w:pPr>
    <w:rPr>
      <w:sz w:val="28"/>
    </w:rPr>
  </w:style>
  <w:style w:type="paragraph" w:customStyle="1" w:styleId="Rectitle">
    <w:name w:val="Rec_title"/>
    <w:basedOn w:val="Normal"/>
    <w:next w:val="Recref"/>
    <w:uiPriority w:val="99"/>
    <w:rsid w:val="00F93419"/>
    <w:pPr>
      <w:keepNext/>
      <w:keepLines/>
      <w:spacing w:before="240"/>
      <w:jc w:val="center"/>
    </w:pPr>
    <w:rPr>
      <w:b/>
      <w:sz w:val="28"/>
    </w:rPr>
  </w:style>
  <w:style w:type="paragraph" w:customStyle="1" w:styleId="Recref">
    <w:name w:val="Rec_ref"/>
    <w:basedOn w:val="Normal"/>
    <w:next w:val="Recdate"/>
    <w:uiPriority w:val="99"/>
    <w:rsid w:val="00F93419"/>
    <w:pPr>
      <w:jc w:val="center"/>
    </w:pPr>
  </w:style>
  <w:style w:type="paragraph" w:customStyle="1" w:styleId="Recdate">
    <w:name w:val="Rec_date"/>
    <w:basedOn w:val="Recref"/>
    <w:next w:val="Normalaftertitle"/>
    <w:uiPriority w:val="99"/>
    <w:rsid w:val="00F93419"/>
    <w:pPr>
      <w:jc w:val="right"/>
    </w:pPr>
  </w:style>
  <w:style w:type="paragraph" w:customStyle="1" w:styleId="HeadingSum">
    <w:name w:val="Heading_Sum"/>
    <w:basedOn w:val="Headingb"/>
    <w:next w:val="Normal"/>
    <w:uiPriority w:val="99"/>
    <w:rsid w:val="00F93419"/>
    <w:pPr>
      <w:spacing w:before="240"/>
    </w:pPr>
    <w:rPr>
      <w:sz w:val="22"/>
      <w:lang w:val="es-ES_tradnl"/>
    </w:rPr>
  </w:style>
  <w:style w:type="paragraph" w:customStyle="1" w:styleId="AppendixNoTitle">
    <w:name w:val="Appendix_NoTitle"/>
    <w:basedOn w:val="AnnexNoTitle"/>
    <w:next w:val="Normal"/>
    <w:uiPriority w:val="99"/>
    <w:rsid w:val="00F93419"/>
  </w:style>
  <w:style w:type="paragraph" w:customStyle="1" w:styleId="Tablefin">
    <w:name w:val="Table_fin"/>
    <w:basedOn w:val="Normal"/>
    <w:next w:val="Normal"/>
    <w:uiPriority w:val="99"/>
    <w:rsid w:val="00F93419"/>
    <w:pPr>
      <w:spacing w:before="0"/>
    </w:pPr>
    <w:rPr>
      <w:sz w:val="20"/>
      <w:lang w:val="en-GB"/>
    </w:rPr>
  </w:style>
  <w:style w:type="paragraph" w:customStyle="1" w:styleId="Tablehead">
    <w:name w:val="Table_head"/>
    <w:basedOn w:val="Normal"/>
    <w:next w:val="Normal"/>
    <w:link w:val="TableheadChar"/>
    <w:uiPriority w:val="99"/>
    <w:rsid w:val="00F93419"/>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paragraph" w:customStyle="1" w:styleId="Tablelegend">
    <w:name w:val="Table_legend"/>
    <w:basedOn w:val="Normal"/>
    <w:uiPriority w:val="99"/>
    <w:rsid w:val="00F93419"/>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ind w:left="284" w:right="-85" w:hanging="369"/>
    </w:pPr>
    <w:rPr>
      <w:sz w:val="22"/>
    </w:rPr>
  </w:style>
  <w:style w:type="paragraph" w:customStyle="1" w:styleId="TableNo">
    <w:name w:val="Table_No"/>
    <w:basedOn w:val="Normal"/>
    <w:next w:val="Normal"/>
    <w:uiPriority w:val="99"/>
    <w:rsid w:val="00F93419"/>
    <w:pPr>
      <w:keepNext/>
      <w:spacing w:before="360" w:after="120"/>
      <w:jc w:val="center"/>
    </w:pPr>
  </w:style>
  <w:style w:type="paragraph" w:customStyle="1" w:styleId="Tabletext">
    <w:name w:val="Table_text"/>
    <w:basedOn w:val="Normal"/>
    <w:link w:val="TabletextChar"/>
    <w:uiPriority w:val="99"/>
    <w:rsid w:val="00F93419"/>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paragraph" w:customStyle="1" w:styleId="Equation">
    <w:name w:val="Equation"/>
    <w:basedOn w:val="Normal"/>
    <w:uiPriority w:val="99"/>
    <w:rsid w:val="00F93419"/>
    <w:pPr>
      <w:tabs>
        <w:tab w:val="clear" w:pos="1191"/>
        <w:tab w:val="clear" w:pos="1588"/>
        <w:tab w:val="clear" w:pos="1985"/>
        <w:tab w:val="center" w:pos="4820"/>
        <w:tab w:val="right" w:pos="9639"/>
      </w:tabs>
    </w:pPr>
  </w:style>
  <w:style w:type="paragraph" w:customStyle="1" w:styleId="Equationlegend">
    <w:name w:val="Equation_legend"/>
    <w:basedOn w:val="NormalIndent"/>
    <w:uiPriority w:val="99"/>
    <w:rsid w:val="00F93419"/>
    <w:pPr>
      <w:tabs>
        <w:tab w:val="clear" w:pos="794"/>
        <w:tab w:val="clear" w:pos="1191"/>
        <w:tab w:val="clear" w:pos="1588"/>
        <w:tab w:val="right" w:pos="1701"/>
      </w:tabs>
      <w:spacing w:before="80"/>
      <w:ind w:left="1985" w:hanging="1985"/>
    </w:pPr>
    <w:rPr>
      <w:lang w:val="en-US"/>
    </w:rPr>
  </w:style>
  <w:style w:type="paragraph" w:styleId="NormalIndent">
    <w:name w:val="Normal Indent"/>
    <w:basedOn w:val="Normal"/>
    <w:uiPriority w:val="99"/>
    <w:rsid w:val="00F93419"/>
    <w:pPr>
      <w:ind w:left="794"/>
    </w:pPr>
  </w:style>
  <w:style w:type="paragraph" w:customStyle="1" w:styleId="Figurelegend">
    <w:name w:val="Figure_legend"/>
    <w:basedOn w:val="Normal"/>
    <w:uiPriority w:val="99"/>
    <w:rsid w:val="00F93419"/>
    <w:pPr>
      <w:keepNext/>
      <w:keepLines/>
      <w:tabs>
        <w:tab w:val="clear" w:pos="794"/>
        <w:tab w:val="clear" w:pos="1191"/>
        <w:tab w:val="clear" w:pos="1588"/>
        <w:tab w:val="clear" w:pos="1985"/>
      </w:tabs>
      <w:spacing w:before="20" w:after="20"/>
    </w:pPr>
    <w:rPr>
      <w:sz w:val="18"/>
    </w:rPr>
  </w:style>
  <w:style w:type="paragraph" w:customStyle="1" w:styleId="FigureNo">
    <w:name w:val="Figure_No"/>
    <w:basedOn w:val="Normal"/>
    <w:next w:val="Figuretitle"/>
    <w:uiPriority w:val="99"/>
    <w:rsid w:val="00F93419"/>
    <w:pPr>
      <w:keepNext/>
      <w:keepLines/>
      <w:spacing w:before="480" w:after="80"/>
      <w:jc w:val="center"/>
    </w:pPr>
    <w:rPr>
      <w:caps/>
      <w:sz w:val="18"/>
    </w:rPr>
  </w:style>
  <w:style w:type="paragraph" w:customStyle="1" w:styleId="Figuretitle">
    <w:name w:val="Figure_title"/>
    <w:basedOn w:val="Normal"/>
    <w:next w:val="Figure"/>
    <w:uiPriority w:val="99"/>
    <w:rsid w:val="00F93419"/>
    <w:pPr>
      <w:keepNext/>
      <w:spacing w:before="0" w:after="120"/>
      <w:jc w:val="center"/>
    </w:pPr>
    <w:rPr>
      <w:rFonts w:ascii="Times New Roman Bold" w:hAnsi="Times New Roman Bold"/>
      <w:b/>
      <w:sz w:val="18"/>
    </w:rPr>
  </w:style>
  <w:style w:type="paragraph" w:customStyle="1" w:styleId="Figure">
    <w:name w:val="Figure"/>
    <w:basedOn w:val="FigureNo"/>
    <w:next w:val="Normal"/>
    <w:uiPriority w:val="99"/>
    <w:rsid w:val="00F93419"/>
    <w:pPr>
      <w:keepNext w:val="0"/>
      <w:spacing w:before="0" w:after="240"/>
    </w:pPr>
  </w:style>
  <w:style w:type="paragraph" w:customStyle="1" w:styleId="tocpart">
    <w:name w:val="tocpart"/>
    <w:basedOn w:val="Normal"/>
    <w:uiPriority w:val="99"/>
    <w:rsid w:val="00F93419"/>
    <w:pPr>
      <w:tabs>
        <w:tab w:val="clear" w:pos="794"/>
        <w:tab w:val="clear" w:pos="1191"/>
        <w:tab w:val="clear" w:pos="1588"/>
        <w:tab w:val="clear" w:pos="1985"/>
        <w:tab w:val="left" w:pos="2693"/>
        <w:tab w:val="left" w:pos="8789"/>
        <w:tab w:val="right" w:pos="9639"/>
      </w:tabs>
      <w:ind w:left="2693" w:hanging="2693"/>
    </w:pPr>
  </w:style>
  <w:style w:type="paragraph" w:customStyle="1" w:styleId="ArtNo">
    <w:name w:val="Art_No"/>
    <w:basedOn w:val="Normal"/>
    <w:next w:val="Normal"/>
    <w:uiPriority w:val="99"/>
    <w:rsid w:val="00F93419"/>
    <w:pPr>
      <w:keepNext/>
      <w:keepLines/>
      <w:spacing w:before="480"/>
      <w:jc w:val="center"/>
    </w:pPr>
    <w:rPr>
      <w:sz w:val="28"/>
    </w:rPr>
  </w:style>
  <w:style w:type="paragraph" w:customStyle="1" w:styleId="Arttitle">
    <w:name w:val="Art_title"/>
    <w:basedOn w:val="Normal"/>
    <w:next w:val="Normalaftertitle"/>
    <w:uiPriority w:val="99"/>
    <w:rsid w:val="00F93419"/>
    <w:pPr>
      <w:keepNext/>
      <w:keepLines/>
      <w:spacing w:before="240"/>
      <w:jc w:val="center"/>
    </w:pPr>
    <w:rPr>
      <w:b/>
      <w:sz w:val="28"/>
    </w:rPr>
  </w:style>
  <w:style w:type="paragraph" w:customStyle="1" w:styleId="Blanc">
    <w:name w:val="Blanc"/>
    <w:basedOn w:val="Normal"/>
    <w:next w:val="Tabletext"/>
    <w:link w:val="BlancChar"/>
    <w:uiPriority w:val="99"/>
    <w:rsid w:val="00F93419"/>
    <w:pPr>
      <w:keepNext/>
      <w:keepLines/>
      <w:tabs>
        <w:tab w:val="clear" w:pos="794"/>
        <w:tab w:val="clear" w:pos="1191"/>
        <w:tab w:val="clear" w:pos="1588"/>
        <w:tab w:val="clear" w:pos="1985"/>
      </w:tabs>
      <w:spacing w:before="0"/>
    </w:pPr>
    <w:rPr>
      <w:sz w:val="16"/>
      <w:lang w:val="en-GB"/>
    </w:rPr>
  </w:style>
  <w:style w:type="paragraph" w:customStyle="1" w:styleId="ASN1">
    <w:name w:val="ASN.1"/>
    <w:basedOn w:val="Normal"/>
    <w:next w:val="Normal"/>
    <w:uiPriority w:val="99"/>
    <w:rsid w:val="00F93419"/>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pacing w:before="0"/>
    </w:pPr>
    <w:rPr>
      <w:b/>
      <w:noProof/>
      <w:sz w:val="20"/>
    </w:rPr>
  </w:style>
  <w:style w:type="paragraph" w:customStyle="1" w:styleId="Call">
    <w:name w:val="Call"/>
    <w:basedOn w:val="Normal"/>
    <w:next w:val="Normal"/>
    <w:uiPriority w:val="99"/>
    <w:rsid w:val="00F93419"/>
    <w:pPr>
      <w:keepNext/>
      <w:keepLines/>
      <w:spacing w:before="160"/>
      <w:ind w:left="794"/>
    </w:pPr>
    <w:rPr>
      <w:i/>
    </w:rPr>
  </w:style>
  <w:style w:type="paragraph" w:customStyle="1" w:styleId="ChapNo">
    <w:name w:val="Chap_No"/>
    <w:basedOn w:val="ArtNo"/>
    <w:next w:val="Chaptitle"/>
    <w:uiPriority w:val="99"/>
    <w:rsid w:val="00F93419"/>
    <w:rPr>
      <w:b/>
    </w:rPr>
  </w:style>
  <w:style w:type="paragraph" w:customStyle="1" w:styleId="Chaptitle">
    <w:name w:val="Chap_title"/>
    <w:basedOn w:val="Arttitle"/>
    <w:next w:val="Normalaftertitle"/>
    <w:uiPriority w:val="99"/>
    <w:rsid w:val="00F93419"/>
  </w:style>
  <w:style w:type="character" w:styleId="FootnoteReference">
    <w:name w:val="footnote reference"/>
    <w:basedOn w:val="DefaultParagraphFont"/>
    <w:uiPriority w:val="99"/>
    <w:semiHidden/>
    <w:rsid w:val="00F93419"/>
    <w:rPr>
      <w:rFonts w:cs="Times New Roman"/>
      <w:position w:val="6"/>
      <w:sz w:val="18"/>
    </w:rPr>
  </w:style>
  <w:style w:type="paragraph" w:styleId="FootnoteText">
    <w:name w:val="footnote text"/>
    <w:basedOn w:val="Normal"/>
    <w:link w:val="FootnoteTextChar"/>
    <w:uiPriority w:val="99"/>
    <w:semiHidden/>
    <w:rsid w:val="00F93419"/>
    <w:pPr>
      <w:keepLines/>
      <w:tabs>
        <w:tab w:val="left" w:pos="255"/>
      </w:tabs>
      <w:ind w:left="255" w:hanging="255"/>
    </w:pPr>
    <w:rPr>
      <w:sz w:val="22"/>
    </w:rPr>
  </w:style>
  <w:style w:type="character" w:customStyle="1" w:styleId="FootnoteTextChar">
    <w:name w:val="Footnote Text Char"/>
    <w:basedOn w:val="DefaultParagraphFont"/>
    <w:link w:val="FootnoteText"/>
    <w:uiPriority w:val="99"/>
    <w:semiHidden/>
    <w:locked/>
    <w:rsid w:val="000253A4"/>
    <w:rPr>
      <w:rFonts w:cs="Times New Roman"/>
      <w:sz w:val="22"/>
      <w:lang w:val="fr-FR" w:eastAsia="en-US"/>
    </w:rPr>
  </w:style>
  <w:style w:type="paragraph" w:styleId="Index1">
    <w:name w:val="index 1"/>
    <w:basedOn w:val="Normal"/>
    <w:next w:val="Normal"/>
    <w:uiPriority w:val="99"/>
    <w:semiHidden/>
    <w:rsid w:val="00F93419"/>
  </w:style>
  <w:style w:type="paragraph" w:styleId="Index2">
    <w:name w:val="index 2"/>
    <w:basedOn w:val="Normal"/>
    <w:next w:val="Normal"/>
    <w:uiPriority w:val="99"/>
    <w:semiHidden/>
    <w:rsid w:val="00F93419"/>
    <w:pPr>
      <w:ind w:left="283"/>
    </w:pPr>
  </w:style>
  <w:style w:type="paragraph" w:styleId="Index3">
    <w:name w:val="index 3"/>
    <w:basedOn w:val="Normal"/>
    <w:next w:val="Normal"/>
    <w:uiPriority w:val="99"/>
    <w:semiHidden/>
    <w:rsid w:val="00F93419"/>
    <w:pPr>
      <w:ind w:left="566"/>
    </w:pPr>
  </w:style>
  <w:style w:type="paragraph" w:styleId="IndexHeading">
    <w:name w:val="index heading"/>
    <w:basedOn w:val="Normal"/>
    <w:next w:val="Index1"/>
    <w:uiPriority w:val="99"/>
    <w:semiHidden/>
    <w:rsid w:val="00F93419"/>
  </w:style>
  <w:style w:type="paragraph" w:customStyle="1" w:styleId="Line">
    <w:name w:val="Line"/>
    <w:basedOn w:val="Normal"/>
    <w:next w:val="Normal"/>
    <w:uiPriority w:val="99"/>
    <w:rsid w:val="00F93419"/>
    <w:pPr>
      <w:pBdr>
        <w:top w:val="single" w:sz="6" w:space="1" w:color="auto"/>
      </w:pBdr>
      <w:tabs>
        <w:tab w:val="clear" w:pos="794"/>
        <w:tab w:val="clear" w:pos="1191"/>
        <w:tab w:val="clear" w:pos="1588"/>
        <w:tab w:val="clear" w:pos="1985"/>
      </w:tabs>
      <w:spacing w:before="240"/>
      <w:ind w:left="3997" w:right="3997"/>
      <w:jc w:val="center"/>
    </w:pPr>
    <w:rPr>
      <w:sz w:val="20"/>
      <w:lang w:val="en-GB"/>
    </w:rPr>
  </w:style>
  <w:style w:type="paragraph" w:customStyle="1" w:styleId="toctemp">
    <w:name w:val="toctemp"/>
    <w:basedOn w:val="Normal"/>
    <w:uiPriority w:val="99"/>
    <w:rsid w:val="00F93419"/>
    <w:pPr>
      <w:tabs>
        <w:tab w:val="clear" w:pos="794"/>
        <w:tab w:val="clear" w:pos="1191"/>
        <w:tab w:val="clear" w:pos="1588"/>
        <w:tab w:val="clear" w:pos="1985"/>
        <w:tab w:val="left" w:pos="2693"/>
        <w:tab w:val="left" w:leader="dot" w:pos="8789"/>
        <w:tab w:val="right" w:pos="9639"/>
      </w:tabs>
      <w:ind w:left="2693" w:right="964" w:hanging="2693"/>
    </w:pPr>
  </w:style>
  <w:style w:type="paragraph" w:customStyle="1" w:styleId="PartNo">
    <w:name w:val="Part_No"/>
    <w:basedOn w:val="Normal"/>
    <w:next w:val="Normal"/>
    <w:uiPriority w:val="99"/>
    <w:rsid w:val="00F93419"/>
  </w:style>
  <w:style w:type="paragraph" w:customStyle="1" w:styleId="Partref">
    <w:name w:val="Part_ref"/>
    <w:basedOn w:val="Normal"/>
    <w:next w:val="Normal"/>
    <w:uiPriority w:val="99"/>
    <w:rsid w:val="00F93419"/>
    <w:pPr>
      <w:keepNext/>
      <w:keepLines/>
      <w:spacing w:after="280"/>
      <w:jc w:val="center"/>
    </w:pPr>
  </w:style>
  <w:style w:type="paragraph" w:customStyle="1" w:styleId="Parttitle">
    <w:name w:val="Part_title"/>
    <w:basedOn w:val="Normal"/>
    <w:next w:val="Normalaftertitle"/>
    <w:uiPriority w:val="99"/>
    <w:rsid w:val="00F93419"/>
    <w:pPr>
      <w:keepNext/>
      <w:keepLines/>
      <w:tabs>
        <w:tab w:val="clear" w:pos="794"/>
        <w:tab w:val="clear" w:pos="1191"/>
        <w:tab w:val="clear" w:pos="1588"/>
        <w:tab w:val="clear" w:pos="1985"/>
      </w:tabs>
      <w:spacing w:before="280" w:after="40"/>
      <w:jc w:val="center"/>
    </w:pPr>
    <w:rPr>
      <w:b/>
      <w:sz w:val="28"/>
    </w:rPr>
  </w:style>
  <w:style w:type="paragraph" w:customStyle="1" w:styleId="Questiondate">
    <w:name w:val="Question_date"/>
    <w:basedOn w:val="Recdate"/>
    <w:next w:val="Normalaftertitle"/>
    <w:uiPriority w:val="99"/>
    <w:rsid w:val="00F93419"/>
  </w:style>
  <w:style w:type="paragraph" w:customStyle="1" w:styleId="QuestionNo">
    <w:name w:val="Question_No"/>
    <w:basedOn w:val="RecNo"/>
    <w:next w:val="Normal"/>
    <w:uiPriority w:val="99"/>
    <w:rsid w:val="00F93419"/>
  </w:style>
  <w:style w:type="paragraph" w:customStyle="1" w:styleId="Questionref">
    <w:name w:val="Question_ref"/>
    <w:basedOn w:val="Recref"/>
    <w:next w:val="Questiondate"/>
    <w:uiPriority w:val="99"/>
    <w:rsid w:val="00F93419"/>
  </w:style>
  <w:style w:type="paragraph" w:customStyle="1" w:styleId="Questiontitle">
    <w:name w:val="Question_title"/>
    <w:basedOn w:val="Normal"/>
    <w:next w:val="Questionref"/>
    <w:uiPriority w:val="99"/>
    <w:rsid w:val="00F93419"/>
  </w:style>
  <w:style w:type="paragraph" w:customStyle="1" w:styleId="Reftext">
    <w:name w:val="Ref_text"/>
    <w:basedOn w:val="Normal"/>
    <w:uiPriority w:val="99"/>
    <w:rsid w:val="00F93419"/>
    <w:pPr>
      <w:ind w:left="794" w:hanging="794"/>
    </w:pPr>
    <w:rPr>
      <w:sz w:val="22"/>
    </w:rPr>
  </w:style>
  <w:style w:type="paragraph" w:customStyle="1" w:styleId="Reftitle">
    <w:name w:val="Ref_title"/>
    <w:basedOn w:val="Normal"/>
    <w:next w:val="Reftext"/>
    <w:uiPriority w:val="99"/>
    <w:rsid w:val="00F93419"/>
    <w:pPr>
      <w:tabs>
        <w:tab w:val="clear" w:pos="794"/>
        <w:tab w:val="clear" w:pos="1191"/>
        <w:tab w:val="clear" w:pos="1588"/>
        <w:tab w:val="clear" w:pos="1985"/>
      </w:tabs>
      <w:spacing w:before="480"/>
      <w:jc w:val="center"/>
    </w:pPr>
    <w:rPr>
      <w:b/>
      <w:sz w:val="28"/>
    </w:rPr>
  </w:style>
  <w:style w:type="paragraph" w:customStyle="1" w:styleId="Repdate">
    <w:name w:val="Rep_date"/>
    <w:basedOn w:val="Recdate"/>
    <w:next w:val="Normal"/>
    <w:uiPriority w:val="99"/>
    <w:rsid w:val="00F93419"/>
  </w:style>
  <w:style w:type="paragraph" w:customStyle="1" w:styleId="RepNo">
    <w:name w:val="Rep_No"/>
    <w:basedOn w:val="RecNo"/>
    <w:next w:val="Reptitle"/>
    <w:uiPriority w:val="99"/>
    <w:rsid w:val="00F93419"/>
  </w:style>
  <w:style w:type="paragraph" w:customStyle="1" w:styleId="Reptitle">
    <w:name w:val="Rep_title"/>
    <w:basedOn w:val="Rectitle"/>
    <w:next w:val="Repref"/>
    <w:uiPriority w:val="99"/>
    <w:rsid w:val="00F93419"/>
  </w:style>
  <w:style w:type="paragraph" w:customStyle="1" w:styleId="Repref">
    <w:name w:val="Rep_ref"/>
    <w:basedOn w:val="Recref"/>
    <w:next w:val="Repdate"/>
    <w:uiPriority w:val="99"/>
    <w:rsid w:val="00F93419"/>
  </w:style>
  <w:style w:type="paragraph" w:customStyle="1" w:styleId="Resdate">
    <w:name w:val="Res_date"/>
    <w:basedOn w:val="Recdate"/>
    <w:next w:val="Normalaftertitle"/>
    <w:uiPriority w:val="99"/>
    <w:rsid w:val="00F93419"/>
  </w:style>
  <w:style w:type="paragraph" w:customStyle="1" w:styleId="ResNo">
    <w:name w:val="Res_No"/>
    <w:basedOn w:val="RecNo"/>
    <w:next w:val="Restitle"/>
    <w:uiPriority w:val="99"/>
    <w:rsid w:val="00F93419"/>
  </w:style>
  <w:style w:type="paragraph" w:customStyle="1" w:styleId="Restitle">
    <w:name w:val="Res_title"/>
    <w:basedOn w:val="Normal"/>
    <w:next w:val="Resref"/>
    <w:uiPriority w:val="99"/>
    <w:rsid w:val="00F93419"/>
    <w:pPr>
      <w:spacing w:before="240"/>
      <w:jc w:val="center"/>
    </w:pPr>
    <w:rPr>
      <w:b/>
      <w:sz w:val="28"/>
    </w:rPr>
  </w:style>
  <w:style w:type="paragraph" w:customStyle="1" w:styleId="Resref">
    <w:name w:val="Res_ref"/>
    <w:basedOn w:val="Recref"/>
    <w:next w:val="Resdate"/>
    <w:uiPriority w:val="99"/>
    <w:rsid w:val="00F93419"/>
  </w:style>
  <w:style w:type="paragraph" w:customStyle="1" w:styleId="SectionNo">
    <w:name w:val="Section_No"/>
    <w:basedOn w:val="Normal"/>
    <w:next w:val="Normal"/>
    <w:uiPriority w:val="99"/>
    <w:rsid w:val="00F93419"/>
  </w:style>
  <w:style w:type="paragraph" w:customStyle="1" w:styleId="Sectiontitle">
    <w:name w:val="Section_title"/>
    <w:basedOn w:val="Normal"/>
    <w:next w:val="Normalaftertitle"/>
    <w:uiPriority w:val="99"/>
    <w:rsid w:val="00F93419"/>
    <w:pPr>
      <w:keepNext/>
      <w:keepLines/>
      <w:tabs>
        <w:tab w:val="clear" w:pos="794"/>
        <w:tab w:val="clear" w:pos="1191"/>
        <w:tab w:val="clear" w:pos="1588"/>
        <w:tab w:val="clear" w:pos="1985"/>
      </w:tabs>
      <w:spacing w:before="280" w:after="40"/>
      <w:jc w:val="center"/>
    </w:pPr>
    <w:rPr>
      <w:b/>
      <w:sz w:val="28"/>
    </w:rPr>
  </w:style>
  <w:style w:type="paragraph" w:customStyle="1" w:styleId="toc0">
    <w:name w:val="toc 0"/>
    <w:basedOn w:val="Normal"/>
    <w:next w:val="TOC1"/>
    <w:uiPriority w:val="99"/>
    <w:rsid w:val="00F93419"/>
    <w:pPr>
      <w:tabs>
        <w:tab w:val="clear" w:pos="794"/>
        <w:tab w:val="clear" w:pos="1191"/>
        <w:tab w:val="clear" w:pos="1588"/>
        <w:tab w:val="clear" w:pos="1985"/>
        <w:tab w:val="right" w:pos="9611"/>
      </w:tabs>
    </w:pPr>
    <w:rPr>
      <w:i/>
    </w:rPr>
  </w:style>
  <w:style w:type="paragraph" w:styleId="TOC1">
    <w:name w:val="toc 1"/>
    <w:basedOn w:val="Normal"/>
    <w:uiPriority w:val="99"/>
    <w:semiHidden/>
    <w:rsid w:val="00F93419"/>
    <w:pPr>
      <w:keepLines/>
      <w:tabs>
        <w:tab w:val="clear" w:pos="794"/>
        <w:tab w:val="clear" w:pos="1191"/>
        <w:tab w:val="clear" w:pos="1588"/>
        <w:tab w:val="clear" w:pos="1985"/>
        <w:tab w:val="left" w:pos="567"/>
        <w:tab w:val="left" w:leader="dot" w:pos="8789"/>
        <w:tab w:val="right" w:pos="9611"/>
      </w:tabs>
      <w:spacing w:before="240"/>
      <w:ind w:left="567" w:right="851" w:hanging="567"/>
    </w:pPr>
    <w:rPr>
      <w:lang w:val="en-US"/>
    </w:rPr>
  </w:style>
  <w:style w:type="paragraph" w:styleId="TOC2">
    <w:name w:val="toc 2"/>
    <w:basedOn w:val="TOC1"/>
    <w:uiPriority w:val="99"/>
    <w:semiHidden/>
    <w:rsid w:val="00F93419"/>
    <w:pPr>
      <w:tabs>
        <w:tab w:val="clear" w:pos="567"/>
        <w:tab w:val="left" w:pos="1276"/>
      </w:tabs>
      <w:spacing w:before="160"/>
      <w:ind w:left="1276" w:hanging="709"/>
    </w:pPr>
  </w:style>
  <w:style w:type="paragraph" w:styleId="TOC3">
    <w:name w:val="toc 3"/>
    <w:basedOn w:val="TOC2"/>
    <w:uiPriority w:val="99"/>
    <w:semiHidden/>
    <w:rsid w:val="00F93419"/>
    <w:pPr>
      <w:tabs>
        <w:tab w:val="clear" w:pos="1276"/>
        <w:tab w:val="left" w:pos="2155"/>
      </w:tabs>
      <w:ind w:left="2155" w:hanging="879"/>
    </w:pPr>
  </w:style>
  <w:style w:type="paragraph" w:styleId="TOC4">
    <w:name w:val="toc 4"/>
    <w:basedOn w:val="TOC3"/>
    <w:uiPriority w:val="99"/>
    <w:semiHidden/>
    <w:rsid w:val="00F93419"/>
    <w:pPr>
      <w:tabs>
        <w:tab w:val="left" w:pos="3261"/>
      </w:tabs>
      <w:spacing w:before="80"/>
      <w:ind w:left="3261" w:hanging="993"/>
    </w:pPr>
  </w:style>
  <w:style w:type="paragraph" w:styleId="TOC5">
    <w:name w:val="toc 5"/>
    <w:basedOn w:val="TOC4"/>
    <w:uiPriority w:val="99"/>
    <w:semiHidden/>
    <w:rsid w:val="00F93419"/>
  </w:style>
  <w:style w:type="paragraph" w:styleId="TOC6">
    <w:name w:val="toc 6"/>
    <w:basedOn w:val="TOC4"/>
    <w:uiPriority w:val="99"/>
    <w:semiHidden/>
    <w:rsid w:val="00F93419"/>
  </w:style>
  <w:style w:type="paragraph" w:styleId="TOC7">
    <w:name w:val="toc 7"/>
    <w:basedOn w:val="TOC4"/>
    <w:uiPriority w:val="99"/>
    <w:semiHidden/>
    <w:rsid w:val="00F93419"/>
  </w:style>
  <w:style w:type="paragraph" w:styleId="TOC8">
    <w:name w:val="toc 8"/>
    <w:basedOn w:val="TOC4"/>
    <w:uiPriority w:val="99"/>
    <w:semiHidden/>
    <w:rsid w:val="00F93419"/>
  </w:style>
  <w:style w:type="paragraph" w:customStyle="1" w:styleId="Annexref">
    <w:name w:val="Annex_ref"/>
    <w:basedOn w:val="Normal"/>
    <w:next w:val="Normalaftertitle"/>
    <w:uiPriority w:val="99"/>
    <w:rsid w:val="00F93419"/>
    <w:pPr>
      <w:keepNext/>
      <w:keepLines/>
      <w:spacing w:after="280"/>
      <w:jc w:val="center"/>
    </w:pPr>
  </w:style>
  <w:style w:type="paragraph" w:customStyle="1" w:styleId="Appendixref">
    <w:name w:val="Appendix_ref"/>
    <w:basedOn w:val="Annexref"/>
    <w:next w:val="Normalaftertitle"/>
    <w:uiPriority w:val="99"/>
    <w:rsid w:val="00F93419"/>
  </w:style>
  <w:style w:type="paragraph" w:customStyle="1" w:styleId="Tabletitle">
    <w:name w:val="Table_title"/>
    <w:basedOn w:val="Normal"/>
    <w:next w:val="Tablehead"/>
    <w:uiPriority w:val="99"/>
    <w:rsid w:val="00F93419"/>
    <w:pPr>
      <w:keepNext/>
      <w:spacing w:before="0" w:after="120"/>
      <w:jc w:val="center"/>
    </w:pPr>
    <w:rPr>
      <w:b/>
    </w:rPr>
  </w:style>
  <w:style w:type="paragraph" w:customStyle="1" w:styleId="Summary">
    <w:name w:val="Summary"/>
    <w:basedOn w:val="Normal"/>
    <w:next w:val="Normalaftertitle"/>
    <w:uiPriority w:val="99"/>
    <w:rsid w:val="00F93419"/>
    <w:pPr>
      <w:spacing w:after="480"/>
    </w:pPr>
    <w:rPr>
      <w:sz w:val="22"/>
      <w:lang w:val="es-ES_tradnl"/>
    </w:rPr>
  </w:style>
  <w:style w:type="character" w:styleId="Hyperlink">
    <w:name w:val="Hyperlink"/>
    <w:basedOn w:val="DefaultParagraphFont"/>
    <w:uiPriority w:val="99"/>
    <w:rsid w:val="00934ED7"/>
    <w:rPr>
      <w:rFonts w:cs="Times New Roman"/>
      <w:color w:val="0000FF"/>
      <w:u w:val="single"/>
    </w:rPr>
  </w:style>
  <w:style w:type="table" w:styleId="TableGrid">
    <w:name w:val="Table Grid"/>
    <w:basedOn w:val="TableNormal"/>
    <w:uiPriority w:val="99"/>
    <w:rsid w:val="000253A4"/>
    <w:pPr>
      <w:tabs>
        <w:tab w:val="left" w:pos="794"/>
        <w:tab w:val="left" w:pos="1191"/>
        <w:tab w:val="left" w:pos="1588"/>
        <w:tab w:val="left" w:pos="1985"/>
      </w:tabs>
      <w:overflowPunct w:val="0"/>
      <w:autoSpaceDE w:val="0"/>
      <w:autoSpaceDN w:val="0"/>
      <w:adjustRightInd w:val="0"/>
      <w:spacing w:before="120"/>
      <w:jc w:val="both"/>
      <w:textAlignment w:val="baseline"/>
    </w:pPr>
    <w:rPr>
      <w:rFonts w:ascii="CG Times" w:eastAsia="SimSun" w:hAnsi="CG Times"/>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lancChar">
    <w:name w:val="Blanc Char"/>
    <w:basedOn w:val="DefaultParagraphFont"/>
    <w:link w:val="Blanc"/>
    <w:uiPriority w:val="99"/>
    <w:locked/>
    <w:rsid w:val="000253A4"/>
    <w:rPr>
      <w:rFonts w:cs="Times New Roman"/>
      <w:sz w:val="16"/>
      <w:lang w:val="en-GB" w:eastAsia="en-US"/>
    </w:rPr>
  </w:style>
  <w:style w:type="character" w:customStyle="1" w:styleId="AnnexNoTitleChar">
    <w:name w:val="Annex_NoTitle Char"/>
    <w:basedOn w:val="DefaultParagraphFont"/>
    <w:link w:val="AnnexNoTitle"/>
    <w:uiPriority w:val="99"/>
    <w:locked/>
    <w:rsid w:val="000253A4"/>
    <w:rPr>
      <w:rFonts w:cs="Times New Roman"/>
      <w:b/>
      <w:sz w:val="28"/>
      <w:lang w:val="fr-FR" w:eastAsia="en-US"/>
    </w:rPr>
  </w:style>
  <w:style w:type="paragraph" w:styleId="EndnoteText">
    <w:name w:val="endnote text"/>
    <w:basedOn w:val="Normal"/>
    <w:link w:val="EndnoteTextChar"/>
    <w:uiPriority w:val="99"/>
    <w:rsid w:val="00514148"/>
    <w:pPr>
      <w:spacing w:before="0"/>
    </w:pPr>
    <w:rPr>
      <w:sz w:val="20"/>
    </w:rPr>
  </w:style>
  <w:style w:type="character" w:customStyle="1" w:styleId="EndnoteTextChar">
    <w:name w:val="Endnote Text Char"/>
    <w:basedOn w:val="DefaultParagraphFont"/>
    <w:link w:val="EndnoteText"/>
    <w:uiPriority w:val="99"/>
    <w:locked/>
    <w:rsid w:val="00514148"/>
    <w:rPr>
      <w:rFonts w:cs="Times New Roman"/>
      <w:lang w:val="fr-FR" w:eastAsia="en-US"/>
    </w:rPr>
  </w:style>
  <w:style w:type="character" w:styleId="EndnoteReference">
    <w:name w:val="endnote reference"/>
    <w:basedOn w:val="DefaultParagraphFont"/>
    <w:uiPriority w:val="99"/>
    <w:rsid w:val="00514148"/>
    <w:rPr>
      <w:rFonts w:cs="Times New Roman"/>
      <w:vertAlign w:val="superscript"/>
    </w:rPr>
  </w:style>
  <w:style w:type="paragraph" w:styleId="BalloonText">
    <w:name w:val="Balloon Text"/>
    <w:basedOn w:val="Normal"/>
    <w:link w:val="BalloonTextChar"/>
    <w:uiPriority w:val="99"/>
    <w:rsid w:val="00D1481C"/>
    <w:pPr>
      <w:spacing w:before="0"/>
    </w:pPr>
    <w:rPr>
      <w:rFonts w:ascii="Tahoma" w:hAnsi="Tahoma" w:cs="Tahoma"/>
      <w:sz w:val="16"/>
      <w:szCs w:val="16"/>
    </w:rPr>
  </w:style>
  <w:style w:type="character" w:customStyle="1" w:styleId="BalloonTextChar">
    <w:name w:val="Balloon Text Char"/>
    <w:basedOn w:val="DefaultParagraphFont"/>
    <w:link w:val="BalloonText"/>
    <w:uiPriority w:val="99"/>
    <w:locked/>
    <w:rsid w:val="00D1481C"/>
    <w:rPr>
      <w:rFonts w:ascii="Tahoma" w:hAnsi="Tahoma" w:cs="Tahoma"/>
      <w:sz w:val="16"/>
      <w:szCs w:val="16"/>
      <w:lang w:val="fr-FR" w:eastAsia="en-US"/>
    </w:rPr>
  </w:style>
  <w:style w:type="character" w:customStyle="1" w:styleId="TabletextChar">
    <w:name w:val="Table_text Char"/>
    <w:basedOn w:val="DefaultParagraphFont"/>
    <w:link w:val="Tabletext"/>
    <w:uiPriority w:val="99"/>
    <w:locked/>
    <w:rsid w:val="00E72C9B"/>
    <w:rPr>
      <w:rFonts w:cs="Times New Roman"/>
      <w:sz w:val="22"/>
      <w:lang w:val="fr-FR" w:eastAsia="en-US"/>
    </w:rPr>
  </w:style>
  <w:style w:type="character" w:customStyle="1" w:styleId="TableheadChar">
    <w:name w:val="Table_head Char"/>
    <w:basedOn w:val="DefaultParagraphFont"/>
    <w:link w:val="Tablehead"/>
    <w:uiPriority w:val="99"/>
    <w:locked/>
    <w:rsid w:val="00E72C9B"/>
    <w:rPr>
      <w:rFonts w:cs="Times New Roman"/>
      <w:b/>
      <w:sz w:val="22"/>
      <w:lang w:val="fr-FR" w:eastAsia="en-US"/>
    </w:rPr>
  </w:style>
  <w:style w:type="paragraph" w:styleId="ListParagraph">
    <w:name w:val="List Paragraph"/>
    <w:basedOn w:val="Normal"/>
    <w:uiPriority w:val="99"/>
    <w:qFormat/>
    <w:rsid w:val="00704619"/>
    <w:pPr>
      <w:ind w:left="720"/>
      <w:contextualSpacing/>
      <w:textAlignment w:val="auto"/>
    </w:pPr>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1675730">
      <w:marLeft w:val="0"/>
      <w:marRight w:val="0"/>
      <w:marTop w:val="0"/>
      <w:marBottom w:val="0"/>
      <w:divBdr>
        <w:top w:val="none" w:sz="0" w:space="0" w:color="auto"/>
        <w:left w:val="none" w:sz="0" w:space="0" w:color="auto"/>
        <w:bottom w:val="none" w:sz="0" w:space="0" w:color="auto"/>
        <w:right w:val="none" w:sz="0" w:space="0" w:color="auto"/>
      </w:divBdr>
    </w:div>
    <w:div w:id="151675731">
      <w:marLeft w:val="0"/>
      <w:marRight w:val="0"/>
      <w:marTop w:val="0"/>
      <w:marBottom w:val="0"/>
      <w:divBdr>
        <w:top w:val="none" w:sz="0" w:space="0" w:color="auto"/>
        <w:left w:val="none" w:sz="0" w:space="0" w:color="auto"/>
        <w:bottom w:val="none" w:sz="0" w:space="0" w:color="auto"/>
        <w:right w:val="none" w:sz="0" w:space="0" w:color="auto"/>
      </w:divBdr>
    </w:div>
    <w:div w:id="151675732">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santosbo\Application%20Data\Microsoft\Templates\QuickPub\BR_Rec_2005.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BR_Rec_2005.dotm</Template>
  <TotalTime>3</TotalTime>
  <Pages>11</Pages>
  <Words>3044</Words>
  <Characters>17351</Characters>
  <Application>Microsoft Office Word</Application>
  <DocSecurity>0</DocSecurity>
  <Lines>144</Lines>
  <Paragraphs>40</Paragraphs>
  <ScaleCrop>false</ScaleCrop>
  <HeadingPairs>
    <vt:vector size="2" baseType="variant">
      <vt:variant>
        <vt:lpstr>Rubrik</vt:lpstr>
      </vt:variant>
      <vt:variant>
        <vt:i4>1</vt:i4>
      </vt:variant>
    </vt:vector>
  </HeadingPairs>
  <TitlesOfParts>
    <vt:vector size="1" baseType="lpstr">
      <vt:lpstr>Template BR_Rec_2005.dot</vt:lpstr>
    </vt:vector>
  </TitlesOfParts>
  <Company>ITU</Company>
  <LinksUpToDate>false</LinksUpToDate>
  <CharactersWithSpaces>20355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BR_Rec_2005.dot</dc:title>
  <dc:creator>POOL</dc:creator>
  <dc:description>Edition                       1.11.07      SPcorr. editeur: 14.2.08/KJREV - 18-02-08 - HBRécup + PDF: 2.7.09/KJ</dc:description>
  <cp:lastModifiedBy>Seamus Doyle</cp:lastModifiedBy>
  <cp:revision>3</cp:revision>
  <cp:lastPrinted>2013-08-21T06:01:00Z</cp:lastPrinted>
  <dcterms:created xsi:type="dcterms:W3CDTF">2013-09-26T08:05:00Z</dcterms:created>
  <dcterms:modified xsi:type="dcterms:W3CDTF">2013-10-24T07:16:00Z</dcterms:modified>
  <cp:category>Template:  BR_Rec_2005.dot   (dès 25.10.2002)</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eader">
    <vt:lpwstr>Rec. </vt:lpwstr>
  </property>
  <property fmtid="{D5CDD505-2E9C-101B-9397-08002B2CF9AE}" pid="3" name="Header 1">
    <vt:lpwstr>Rap. </vt:lpwstr>
  </property>
  <property fmtid="{D5CDD505-2E9C-101B-9397-08002B2CF9AE}" pid="4" name="Header 2">
    <vt:lpwstr>Rep. </vt:lpwstr>
  </property>
  <property fmtid="{D5CDD505-2E9C-101B-9397-08002B2CF9AE}" pid="5" name="Header 3">
    <vt:lpwstr>I. </vt:lpwstr>
  </property>
  <property fmtid="{D5CDD505-2E9C-101B-9397-08002B2CF9AE}" pid="6" name="Header 4">
    <vt:lpwstr>Op. </vt:lpwstr>
  </property>
  <property fmtid="{D5CDD505-2E9C-101B-9397-08002B2CF9AE}" pid="7" name="Header 5">
    <vt:lpwstr>V. </vt:lpwstr>
  </property>
  <property fmtid="{D5CDD505-2E9C-101B-9397-08002B2CF9AE}" pid="8" name="Header 6">
    <vt:lpwstr>Ru. </vt:lpwstr>
  </property>
</Properties>
</file>